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Assignment — Seema: The Capacity Boundary Governor</w:t>
      </w:r>
    </w:p>
    <w:p>
      <w:pPr>
        <w:spacing w:after="160"/>
      </w:pPr>
      <w:r>
        <w:rPr>
          <w:i/>
          <w:iCs/>
        </w:rPr>
        <w:t xml:space="preserve">Unguided assignment — Modules 6-7, built on top of the working Niyantran reference repo. Lloyds Financial (training scenario).</w:t>
      </w:r>
    </w:p>
    <w:p>
      <w:pPr>
        <w:pBdr>
          <w:bottom w:val="single" w:color="999999" w:sz="6"/>
        </w:pBd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E0" w:val="clear"/>
            <w:tcMar>
              <w:top w:type="dxa" w:w="140"/>
              <w:left w:type="dxa" w:w="180"/>
              <w:bottom w:type="dxa" w:w="140"/>
              <w:right w:type="dxa" w:w="180"/>
            </w:tcMar>
          </w:tcPr>
          <w:p>
            <w:r>
              <w:rPr>
                <w:i/>
                <w:iCs/>
                <w:color w:val="E65100"/>
                <w:sz w:val="20"/>
                <w:szCs w:val="20"/>
              </w:rPr>
              <w:t xml:space="preserve">This assignment is UNGUIDED. There is no starter code with gaps, no step-by-step build plan, and no suggested Copilot prompts — those were the earlier challenge format. Here, the Niyantran reference repo is fully working and given to you as-is; the assignment is to design and build something NEW on top of it yourself, from the scenario below to a working implementation, and to justify the design choices you made.</w:t>
            </w:r>
          </w:p>
        </w:tc>
      </w:tr>
    </w:tbl>
    <w:p>
      <w:pPr>
        <w:pStyle w:val="Heading1"/>
        <w:spacing w:after="140" w:before="320"/>
      </w:pPr>
      <w:r>
        <w:t xml:space="preserve">Scenario</w:t>
      </w:r>
    </w:p>
    <w:p>
      <w:pPr>
        <w:spacing w:after="160"/>
      </w:pPr>
      <w:r>
        <w:t xml:space="preserve">Niyantran's cost_anomaly.py catches a runaway loop after the fact — once the rolling mean has already spiked. slo.py reports whether an SLO is currently breached — also after the fact. Neither module does anything to PREVENT a burst of concurrent requests from exhausting a provider's rate limit or burning through an error budget while it's happening.</w:t>
      </w:r>
    </w:p>
    <w:p>
      <w:pPr>
        <w:spacing w:after="160"/>
      </w:pPr>
      <w:r>
        <w:t xml:space="preserve">Lloyds' operations team has asked for a capacity governor: something that watches requests as they arrive and, when the system is approaching a boundary — a configured request-rate ceiling, or an SLO whose error budget is already negative — changes how NEW requests are handled, rather than just reporting the problem afterward like every module before it has.</w:t>
      </w:r>
    </w:p>
    <w:p>
      <w:pPr>
        <w:spacing w:after="160"/>
      </w:pPr>
      <w:r>
        <w:t xml:space="preserve">The name 'Seema' (सीमा — boundary, limit) is for this capability: software that acts AT a boundary, not just one that measures how far past it you've gone.</w:t>
      </w:r>
    </w:p>
    <w:p>
      <w:pPr>
        <w:pStyle w:val="Heading1"/>
        <w:spacing w:after="140" w:before="320"/>
      </w:pPr>
      <w:r>
        <w:t xml:space="preserve">What You're Building</w:t>
      </w:r>
    </w:p>
    <w:p>
      <w:pPr>
        <w:spacing w:after="160"/>
      </w:pPr>
      <w:r>
        <w:t xml:space="preserve">Three deliverables. How you implement each one is entirely up to you — there is no reference implementation to match against, only the acceptance criteria below.</w:t>
      </w:r>
    </w:p>
    <w:p>
      <w:pPr>
        <w:pStyle w:val="Heading2"/>
        <w:spacing w:after="100" w:before="220"/>
      </w:pPr>
      <w:r>
        <w:t xml:space="preserve">1. A capacity governor</w:t>
      </w:r>
    </w:p>
    <w:p>
      <w:pPr>
        <w:spacing w:after="160"/>
      </w:pPr>
      <w:r>
        <w:t xml:space="preserve">A new module (name and location your choice, though it should live under src/core/ to match the existing structure) that tracks incoming request volume over a short rolling window and makes a real decision when a configured boundary is crossed. At minimum, it must handle two distinct trigger conditions:</w:t>
      </w:r>
    </w:p>
    <w:p>
      <w:pPr>
        <w:pStyle w:val="ListParagraph"/>
        <w:numPr>
          <w:ilvl w:val="0"/>
          <w:numId w:val="1"/>
        </w:numPr>
        <w:spacing w:after="90"/>
      </w:pPr>
      <w:r>
        <w:t xml:space="preserve">Request-rate ceiling — more than N requests in the last M seconds (you choose N and M, and justify your choice in the write-up).</w:t>
      </w:r>
    </w:p>
    <w:p>
      <w:pPr>
        <w:pStyle w:val="ListParagraph"/>
        <w:numPr>
          <w:ilvl w:val="0"/>
          <w:numId w:val="1"/>
        </w:numPr>
        <w:spacing w:after="90"/>
      </w:pPr>
      <w:r>
        <w:t xml:space="preserve">Error-budget exhaustion — any of slo.py's SLOs currently reporting slo_met: false.</w:t>
      </w:r>
    </w:p>
    <w:p>
      <w:pPr>
        <w:spacing w:after="160"/>
      </w:pPr>
      <w:r>
        <w:t xml:space="preserve">When either triggers, the governor must change what happens to NEW requests arriving while the condition holds — for example (not prescriptive; design your own): forcing every new tool-loop call to the light tier regardless of complexity_hint, rejecting or queuing low-priority FAQ requests while investigations continue normally, or something else you can justify. The governor must stop acting once the triggering condition clears.</w:t>
      </w:r>
    </w:p>
    <w:p>
      <w:pPr>
        <w:pStyle w:val="Heading2"/>
        <w:spacing w:after="100" w:before="220"/>
      </w:pPr>
      <w:r>
        <w:t xml:space="preserve">2. A capacity SLO and alert, wired into the existing pattern</w:t>
      </w:r>
    </w:p>
    <w:p>
      <w:pPr>
        <w:spacing w:after="160"/>
      </w:pPr>
      <w:r>
        <w:t xml:space="preserve">Define a new SLO (e.g. capacity_headroom, or a name of your choice) following slo.py's existing SLO_DEFINITIONS shape, backed by a signal you design — likely something the governor itself is already tracking. Wire a corresponding alert into incident_response.py's classification scheme (choose and justify a severity) AND into alert_rules.yml as a real PromQL rule with a `for:` duration, consistent with how the other M7 alerts are built.</w:t>
      </w:r>
    </w:p>
    <w:p>
      <w:pPr>
        <w:pStyle w:val="Heading2"/>
        <w:spacing w:after="100" w:before="220"/>
      </w:pPr>
      <w:r>
        <w:t xml:space="preserve">3. A runbook entry</w:t>
      </w:r>
    </w:p>
    <w:p>
      <w:pPr>
        <w:spacing w:after="160"/>
      </w:pPr>
      <w:r>
        <w:t xml:space="preserve">Add one section to docs/runbook.md, in the same format as the existing per-alert playbooks, covering your new alert: what it means, where to check its current state, and what the on-call engineer should do about it.</w:t>
      </w:r>
    </w:p>
    <w:p>
      <w:pPr>
        <w:pStyle w:val="Heading1"/>
        <w:spacing w:after="140" w:before="320"/>
      </w:pPr>
      <w:r>
        <w:t xml:space="preserve">Constraints</w:t>
      </w:r>
    </w:p>
    <w:p>
      <w:pPr>
        <w:pStyle w:val="ListParagraph"/>
        <w:numPr>
          <w:ilvl w:val="0"/>
          <w:numId w:val="1"/>
        </w:numPr>
        <w:spacing w:after="90"/>
      </w:pPr>
      <w:r>
        <w:t xml:space="preserve">Do not modify the behavior of any existing module (cost_attribution.py, cost_anomaly.py, slo.py's existing three SLOs, alerting.py's existing checks, incident_response.py's existing incident classes) — only add to them.</w:t>
      </w:r>
    </w:p>
    <w:p>
      <w:pPr>
        <w:pStyle w:val="ListParagraph"/>
        <w:numPr>
          <w:ilvl w:val="0"/>
          <w:numId w:val="1"/>
        </w:numPr>
        <w:spacing w:after="90"/>
      </w:pPr>
      <w:r>
        <w:t xml:space="preserve">Keep the existing folder structure (src/core/, src/tools/, src/data/, tests/unit/, scripts/, docs/) — new files go in the matching directory, not the repo root.</w:t>
      </w:r>
    </w:p>
    <w:p>
      <w:pPr>
        <w:pStyle w:val="ListParagraph"/>
        <w:numPr>
          <w:ilvl w:val="0"/>
          <w:numId w:val="1"/>
        </w:numPr>
        <w:spacing w:after="90"/>
      </w:pPr>
      <w:r>
        <w:t xml:space="preserve">Your governor must be observable the same way everything else in this repo is — if it makes a decision, that decision should be visible via an existing pattern (a span attribute, a metric, an incident, or a new endpoint), not just a print statement or a code comment.</w:t>
      </w:r>
    </w:p>
    <w:p>
      <w:pPr>
        <w:pStyle w:val="ListParagraph"/>
        <w:numPr>
          <w:ilvl w:val="0"/>
          <w:numId w:val="1"/>
        </w:numPr>
        <w:spacing w:after="90"/>
      </w:pPr>
      <w:r>
        <w:t xml:space="preserve">No seeded 'incidents' module for this assignment — you are not hiding a bug for someone else to find; you are building a real capability and demonstrating that it works.</w:t>
      </w:r>
    </w:p>
    <w:p>
      <w:pPr>
        <w:pStyle w:val="Heading1"/>
        <w:spacing w:after="140" w:before="320"/>
      </w:pPr>
      <w:r>
        <w:t xml:space="preserve">Definition of Done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63238" w:val="clear"/>
            <w:tcMar>
              <w:top w:type="dxa" w:w="80"/>
              <w:left w:type="dxa" w:w="100"/>
              <w:bottom w:type="dxa" w:w="80"/>
              <w:right w:type="dxa" w:w="100"/>
            </w:tcMar>
          </w:tcPr>
          <w:p>
            <w:r>
              <w:rPr>
                <w:b/>
                <w:bCs/>
                <w:color w:val="FFFFFF"/>
                <w:sz w:val="20"/>
                <w:szCs w:val="20"/>
              </w:rPr>
              <w:t xml:space="preserve">Deliverable</w:t>
            </w:r>
          </w:p>
        </w:tc>
        <w:tc>
          <w:tcPr>
            <w:shd w:fill="263238" w:val="clear"/>
            <w:tcMar>
              <w:top w:type="dxa" w:w="80"/>
              <w:left w:type="dxa" w:w="100"/>
              <w:bottom w:type="dxa" w:w="80"/>
              <w:right w:type="dxa" w:w="100"/>
            </w:tcMar>
          </w:tcPr>
          <w:p>
            <w:r>
              <w:rPr>
                <w:b/>
                <w:bCs/>
                <w:color w:val="FFFFFF"/>
                <w:sz w:val="20"/>
                <w:szCs w:val="20"/>
              </w:rPr>
              <w:t xml:space="preserve">Acceptance criteria</w:t>
            </w:r>
          </w:p>
        </w:tc>
      </w:tr>
      <w:tr>
        <w:tc>
          <w:tcPr>
            <w:tcMar>
              <w:top w:type="dxa" w:w="80"/>
              <w:left w:type="dxa" w:w="100"/>
              <w:bottom w:type="dxa" w:w="80"/>
              <w:right w:type="dxa" w:w="100"/>
            </w:tcMar>
          </w:tcPr>
          <w:p>
            <w:r>
              <w:rPr>
                <w:sz w:val="19"/>
                <w:szCs w:val="19"/>
              </w:rPr>
              <w:t xml:space="preserve">Capacity governor module</w:t>
            </w:r>
          </w:p>
        </w:tc>
        <w:tc>
          <w:tcPr>
            <w:tcMar>
              <w:top w:type="dxa" w:w="80"/>
              <w:left w:type="dxa" w:w="100"/>
              <w:bottom w:type="dxa" w:w="80"/>
              <w:right w:type="dxa" w:w="100"/>
            </w:tcMar>
          </w:tcPr>
          <w:p>
            <w:r>
              <w:rPr>
                <w:sz w:val="19"/>
                <w:szCs w:val="19"/>
              </w:rPr>
              <w:t xml:space="preserve">A clean trigger (request-rate OR error-budget) can be demonstrated live — show the system behaving differently for new requests once the boundary is crossed, and returning to normal once it clears.</w:t>
            </w:r>
          </w:p>
        </w:tc>
      </w:tr>
      <w:tr>
        <w:tc>
          <w:tcPr>
            <w:tcMar>
              <w:top w:type="dxa" w:w="80"/>
              <w:left w:type="dxa" w:w="100"/>
              <w:bottom w:type="dxa" w:w="80"/>
              <w:right w:type="dxa" w:w="100"/>
            </w:tcMar>
          </w:tcPr>
          <w:p>
            <w:r>
              <w:rPr>
                <w:sz w:val="19"/>
                <w:szCs w:val="19"/>
              </w:rPr>
              <w:t xml:space="preserve">New SLO + alert</w:t>
            </w:r>
          </w:p>
        </w:tc>
        <w:tc>
          <w:tcPr>
            <w:tcMar>
              <w:top w:type="dxa" w:w="80"/>
              <w:left w:type="dxa" w:w="100"/>
              <w:bottom w:type="dxa" w:w="80"/>
              <w:right w:type="dxa" w:w="100"/>
            </w:tcMar>
          </w:tcPr>
          <w:p>
            <w:r>
              <w:rPr>
                <w:sz w:val="19"/>
                <w:szCs w:val="19"/>
              </w:rPr>
              <w:t xml:space="preserve">GET /slo/status (or your equivalent) shows the new SLO with a real sample_size and current_pct; the Prometheus rule is syntactically valid and evaluates without error against real metrics.</w:t>
            </w:r>
          </w:p>
        </w:tc>
      </w:tr>
      <w:tr>
        <w:tc>
          <w:tcPr>
            <w:tcMar>
              <w:top w:type="dxa" w:w="80"/>
              <w:left w:type="dxa" w:w="100"/>
              <w:bottom w:type="dxa" w:w="80"/>
              <w:right w:type="dxa" w:w="100"/>
            </w:tcMar>
          </w:tcPr>
          <w:p>
            <w:r>
              <w:rPr>
                <w:sz w:val="19"/>
                <w:szCs w:val="19"/>
              </w:rPr>
              <w:t xml:space="preserve">Runbook entry</w:t>
            </w:r>
          </w:p>
        </w:tc>
        <w:tc>
          <w:tcPr>
            <w:tcMar>
              <w:top w:type="dxa" w:w="80"/>
              <w:left w:type="dxa" w:w="100"/>
              <w:bottom w:type="dxa" w:w="80"/>
              <w:right w:type="dxa" w:w="100"/>
            </w:tcMar>
          </w:tcPr>
          <w:p>
            <w:r>
              <w:rPr>
                <w:sz w:val="19"/>
                <w:szCs w:val="19"/>
              </w:rPr>
              <w:t xml:space="preserve">A reviewer unfamiliar with your code could follow the entry to diagnose and respond to your new alert.</w:t>
            </w:r>
          </w:p>
        </w:tc>
      </w:tr>
      <w:tr>
        <w:tc>
          <w:tcPr>
            <w:tcMar>
              <w:top w:type="dxa" w:w="80"/>
              <w:left w:type="dxa" w:w="100"/>
              <w:bottom w:type="dxa" w:w="80"/>
              <w:right w:type="dxa" w:w="100"/>
            </w:tcMar>
          </w:tcPr>
          <w:p>
            <w:r>
              <w:rPr>
                <w:sz w:val="19"/>
                <w:szCs w:val="19"/>
              </w:rPr>
              <w:t xml:space="preserve">Design write-up (1 page)</w:t>
            </w:r>
          </w:p>
        </w:tc>
        <w:tc>
          <w:tcPr>
            <w:tcMar>
              <w:top w:type="dxa" w:w="80"/>
              <w:left w:type="dxa" w:w="100"/>
              <w:bottom w:type="dxa" w:w="80"/>
              <w:right w:type="dxa" w:w="100"/>
            </w:tcMar>
          </w:tcPr>
          <w:p>
            <w:r>
              <w:rPr>
                <w:sz w:val="19"/>
                <w:szCs w:val="19"/>
              </w:rPr>
              <w:t xml:space="preserve">States the two trigger conditions' exact thresholds and why you chose them, what the governor does differently once triggered and why, and one scenario where your design's choice of action could itself cause a problem (e.g. what happens if EVERY request gets downgraded during a real incident, not just during a genuine capacity event).</w:t>
            </w:r>
          </w:p>
        </w:tc>
      </w:tr>
      <w:tr>
        <w:tc>
          <w:tcPr>
            <w:tcMar>
              <w:top w:type="dxa" w:w="80"/>
              <w:left w:type="dxa" w:w="100"/>
              <w:bottom w:type="dxa" w:w="80"/>
              <w:right w:type="dxa" w:w="100"/>
            </w:tcMar>
          </w:tcPr>
          <w:p>
            <w:r>
              <w:rPr>
                <w:sz w:val="19"/>
                <w:szCs w:val="19"/>
              </w:rPr>
              <w:t xml:space="preserve">Demonstration</w:t>
            </w:r>
          </w:p>
        </w:tc>
        <w:tc>
          <w:tcPr>
            <w:tcMar>
              <w:top w:type="dxa" w:w="80"/>
              <w:left w:type="dxa" w:w="100"/>
              <w:bottom w:type="dxa" w:w="80"/>
              <w:right w:type="dxa" w:w="100"/>
            </w:tcMar>
          </w:tcPr>
          <w:p>
            <w:r>
              <w:rPr>
                <w:sz w:val="19"/>
                <w:szCs w:val="19"/>
              </w:rPr>
              <w:t xml:space="preserve">A short recorded run (terminal output or screen capture) showing: normal operation, the boundary being crossed, the governor's behavior changing, the alert firing, and the condition clearing.</w:t>
            </w:r>
          </w:p>
        </w:tc>
      </w:tr>
    </w:tbl>
    <w:p>
      <w:pPr>
        <w:pStyle w:val="Heading1"/>
        <w:spacing w:after="140" w:before="320"/>
      </w:pPr>
      <w:r>
        <w:t xml:space="preserve">Submission</w:t>
      </w:r>
    </w:p>
    <w:p>
      <w:pPr>
        <w:spacing w:after="160"/>
      </w:pPr>
      <w:r>
        <w:t xml:space="preserve">Submit your modified repo (or a diff against the Niyantran reference repo), the design write-up, and the demonstration. No code review of your specific implementation approach happens before submission — that is the point of an unguided assignment.</w:t>
      </w:r>
    </w:p>
    <w:p>
      <w:pPr>
        <w:pBdr>
          <w:bottom w:val="single" w:color="999999" w:sz="6"/>
        </w:pBdr>
        <w:spacing w:after="200"/>
      </w:pPr>
    </w:p>
    <w:p>
      <w:pPr>
        <w:spacing w:after="160"/>
      </w:pPr>
      <w:r>
        <w:rPr>
          <w:i/>
          <w:iCs/>
          <w:sz w:val="20"/>
          <w:szCs w:val="20"/>
        </w:rPr>
        <w:t xml:space="preserve">Questions about SCOPE (what counts as 'capacity', what the governor is allowed to touch) are fair game to ask your facilitator. Questions about HOW to implement your chosen approach are not — that judgment call is the assignment.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2026-10-25T08:20:33.608Z</dcterms:created>
  <dcterms:modified xsi:type="dcterms:W3CDTF">2026-10-25T08:20:33.609Z</dcterms:modified>
</cp:coreProperties>
</file>

<file path=docProps/custom.xml><?xml version="1.0" encoding="utf-8"?>
<Properties xmlns="http://schemas.openxmlformats.org/officeDocument/2006/custom-properties" xmlns:vt="http://schemas.openxmlformats.org/officeDocument/2006/docPropsVTypes"/>
</file>