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595959"/>
          <w:spacing w:val="30"/>
          <w:sz w:val="20"/>
          <w:szCs w:val="20"/>
        </w:rPr>
        <w:t xml:space="preserve">ENTERPRISE CAPSTONE — OUTLINE</w:t>
      </w:r>
    </w:p>
    <w:p>
      <w:pPr>
        <w:spacing w:before="140"/>
      </w:pPr>
      <w:r>
        <w:rPr>
          <w:rFonts w:ascii="Cambria" w:cs="Cambria" w:eastAsia="Cambria" w:hAnsi="Cambria"/>
          <w:b/>
          <w:bCs/>
          <w:color w:val="000000"/>
          <w:sz w:val="34"/>
          <w:szCs w:val="34"/>
        </w:rPr>
        <w:t xml:space="preserve">AI for Value Engineering with Claude — Advanced Batch</w:t>
      </w:r>
    </w:p>
    <w:p>
      <w:pPr>
        <w:pBdr>
          <w:bottom w:val="single" w:color="000000" w:sz="6" w:space="8"/>
        </w:pBdr>
        <w:spacing w:after="160" w:before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LeadSquared × TimesPro  |  Evaluated by LeadSquared's internal engineering and architecture team</w:t>
      </w:r>
    </w:p>
    <w:p>
      <w:pPr>
        <w:pStyle w:val="Heading1"/>
        <w:pBdr>
          <w:bottom w:val="single" w:color="000000" w:sz="6" w:space="6"/>
        </w:pBdr>
        <w:spacing w:after="140" w:before="340"/>
      </w:pPr>
      <w:r>
        <w:rPr>
          <w:rFonts w:ascii="Cambria" w:cs="Cambria" w:eastAsia="Cambria" w:hAnsi="Cambria"/>
          <w:b/>
          <w:bCs/>
          <w:color w:val="000000"/>
          <w:sz w:val="30"/>
          <w:szCs w:val="30"/>
        </w:rPr>
        <w:t xml:space="preserve">What This Capstone Is</w:t>
      </w:r>
    </w:p>
    <w:p>
      <w:pPr>
        <w:spacing w:after="110" w:line="300"/>
      </w:pPr>
      <w:r>
        <w:rPr>
          <w:rFonts w:ascii="Calibri" w:cs="Calibri" w:eastAsia="Calibri" w:hAnsi="Calibri"/>
          <w:i w:val="false"/>
          <w:iCs w:val="false"/>
          <w:color w:val="404040"/>
          <w:sz w:val="20"/>
          <w:szCs w:val="20"/>
        </w:rPr>
        <w:t xml:space="preserve">Teams take a real LeadSquared CRM business requirement through the full software delivery lifecycle using Claude Code — BRD → Architecture → Code → Tests → Review → CI/CD → Documentation → Demo — applying specification-driven development, Skills, Hooks, multi-agent patterns, AI code review, and governance practices covered across the five-day track.</w:t>
      </w:r>
    </w:p>
    <w:p>
      <w:pPr>
        <w:pStyle w:val="Heading1"/>
        <w:pBdr>
          <w:bottom w:val="single" w:color="000000" w:sz="6" w:space="6"/>
        </w:pBdr>
        <w:spacing w:after="140" w:before="340"/>
      </w:pPr>
      <w:r>
        <w:rPr>
          <w:rFonts w:ascii="Cambria" w:cs="Cambria" w:eastAsia="Cambria" w:hAnsi="Cambria"/>
          <w:b/>
          <w:bCs/>
          <w:color w:val="000000"/>
          <w:sz w:val="30"/>
          <w:szCs w:val="30"/>
        </w:rPr>
        <w:t xml:space="preserve">Scenario Options (CRM, LeadSquared-Grounded)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Multi-Channel Lead Deduplication &amp; Merge — detect and merge duplicate lead records arriving from web form, chatbot, and referral channels. Extends leadscore_service.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Compliance-Aware Lead Data Export — export lead data with PII-masking rules that differ by vertical (stricter for Healthcare/BFSI than EdTech).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Real-Time Lead Routing Engine — route an inbound lead to the correct rep/queue by score, territory, and vertical. Extends FollowUpBot.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Or propose your own real CRM requirement, subject to facilitator approval.</w:t>
      </w:r>
    </w:p>
    <w:p>
      <w:pPr>
        <w:pStyle w:val="Heading1"/>
        <w:pBdr>
          <w:bottom w:val="single" w:color="000000" w:sz="6" w:space="6"/>
        </w:pBdr>
        <w:spacing w:after="140" w:before="340"/>
      </w:pPr>
      <w:r>
        <w:rPr>
          <w:rFonts w:ascii="Cambria" w:cs="Cambria" w:eastAsia="Cambria" w:hAnsi="Cambria"/>
          <w:b/>
          <w:bCs/>
          <w:color w:val="000000"/>
          <w:sz w:val="30"/>
          <w:szCs w:val="30"/>
        </w:rPr>
        <w:t xml:space="preserve">The Eight-Phase Lifecycle</w:t>
      </w:r>
    </w:p>
    <w:p>
      <w:pPr>
        <w:shd w:fill="E8E8E8" w:val="clear"/>
        <w:spacing w:after="7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Phase 1.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Write or receive a short Business Requirements Document for the chosen scenario.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Run the Analyst phase (BMAD) — restate the problem, surface ambiguity and assumptions.</w:t>
      </w:r>
    </w:p>
    <w:p>
      <w:pPr>
        <w:shd w:fill="E8E8E8" w:val="clear"/>
        <w:spacing w:after="7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Phase 2.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PM phase — expand into a PRD, prioritized, with testable acceptance criteria.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Architect phase — solution design, key decisions captured as an ADR.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Human checkpoint: approve the PRD and architecture before any code is written.</w:t>
      </w:r>
    </w:p>
    <w:p>
      <w:pPr>
        <w:shd w:fill="E8E8E8" w:val="clear"/>
        <w:spacing w:after="7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Phase 3.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Code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Scrum Master phase — shard the design into small, sequenced stories.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Dev phase — implement one shard at a time; review every diff before accepting.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Use at least one Skill and at least one multi-agent pattern (e.g., Planner/Architect/Dev/QA/Security/Reviewer, or Subagent delegation).</w:t>
      </w:r>
    </w:p>
    <w:p>
      <w:pPr>
        <w:shd w:fill="E8E8E8" w:val="clear"/>
        <w:spacing w:after="7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Phase 4.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Tests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Test Architect (QA) phase — verify against the PRD's acceptance criteria, not just “code runs.”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Cover edge cases and at least one negative/failure-path test.</w:t>
      </w:r>
    </w:p>
    <w:p>
      <w:pPr>
        <w:shd w:fill="E8E8E8" w:val="clear"/>
        <w:spacing w:after="7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Phase 5.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Review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Run an AI Code Review pass — SOLID principles, OWASP-aligned security check, performance, technical debt.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Log findings and resolutions; unresolved findings must be explicitly justified, not silently dropped.</w:t>
      </w:r>
    </w:p>
    <w:p>
      <w:pPr>
        <w:shd w:fill="E8E8E8" w:val="clear"/>
        <w:spacing w:after="7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Phase 6.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CI/CD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Wire at least one Hook into a CI/CD check (e.g., blocking a merge until tests and the code-review pass succeed).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Produce one real, green CI/CD run as evidence.</w:t>
      </w:r>
    </w:p>
    <w:p>
      <w:pPr>
        <w:shd w:fill="E8E8E8" w:val="clear"/>
        <w:spacing w:after="7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Phase 7.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README, architecture note/ADR, and a short governance note (auditability, PII handling, approvals) per Module 13.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Note any cost-optimization choices made (model selection, caching, token usage) per Module 14.</w:t>
      </w:r>
    </w:p>
    <w:p>
      <w:pPr>
        <w:shd w:fill="E8E8E8" w:val="clear"/>
        <w:spacing w:after="70" w:before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Phase 8.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Demo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 short, live walkthrough of the working feature, the CI/CD run, and one AI-assisted decision point you'd defend to a reviewer.</w:t>
      </w:r>
    </w:p>
    <w:p>
      <w:pPr>
        <w:pStyle w:val="Heading1"/>
        <w:pBdr>
          <w:bottom w:val="single" w:color="000000" w:sz="6" w:space="6"/>
        </w:pBdr>
        <w:spacing w:after="140" w:before="340"/>
      </w:pPr>
      <w:r>
        <w:rPr>
          <w:rFonts w:ascii="Cambria" w:cs="Cambria" w:eastAsia="Cambria" w:hAnsi="Cambria"/>
          <w:b/>
          <w:bCs/>
          <w:color w:val="000000"/>
          <w:sz w:val="30"/>
          <w:szCs w:val="3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Working code, in a repository with full commit history through all phases above.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 test suite with passing results.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One real CI/CD run (e.g., GitHub Actions) as evidence, not just a local test pass.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Documentation: README, architecture/ADR, governance note.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 final live demo.</w:t>
      </w:r>
    </w:p>
    <w:p>
      <w:pPr>
        <w:pStyle w:val="Heading1"/>
        <w:pBdr>
          <w:bottom w:val="single" w:color="000000" w:sz="6" w:space="6"/>
        </w:pBdr>
        <w:spacing w:after="140" w:before="340"/>
      </w:pPr>
      <w:r>
        <w:rPr>
          <w:rFonts w:ascii="Cambria" w:cs="Cambria" w:eastAsia="Cambria" w:hAnsi="Cambria"/>
          <w:b/>
          <w:bCs/>
          <w:color w:val="000000"/>
          <w:sz w:val="30"/>
          <w:szCs w:val="30"/>
        </w:rPr>
        <w:t xml:space="preserve">Evaluation</w:t>
      </w:r>
    </w:p>
    <w:p>
      <w:pPr>
        <w:spacing w:after="110" w:line="300"/>
      </w:pPr>
      <w:r>
        <w:rPr>
          <w:rFonts w:ascii="Calibri" w:cs="Calibri" w:eastAsia="Calibri" w:hAnsi="Calibri"/>
          <w:i w:val="false"/>
          <w:iCs w:val="false"/>
          <w:color w:val="404040"/>
          <w:sz w:val="20"/>
          <w:szCs w:val="20"/>
        </w:rPr>
        <w:t xml:space="preserve">Evaluated internally by LeadSquared's engineering and architecture team, against the eight lifecycle phases above — each phase scored on whether its artifact exists, is genuinely usable, and shows evidence of the required technique (BMAD, Skills, Hooks, multi-agent patterns, AI code review, or governance) rather than being skipped or superficial.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5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shd w:fill="1A1A1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What's Checked</w:t>
            </w:r>
          </w:p>
        </w:tc>
      </w:tr>
      <w:tr>
        <w:tc>
          <w:tcPr>
            <w:tcW w:type="dxa" w:w="25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BRD &amp; Architecture</w:t>
            </w:r>
          </w:p>
        </w:tc>
        <w:tc>
          <w:tcPr>
            <w:tcW w:type="dxa" w:w="25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PRD and architecture exist, are approved, and were built via the BMAD planning phases — not skipped straight to code.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Code &amp; Skills/Agents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Implementation matches the plan; at least one Skill and one multi-agent pattern genuinely used, not just mentioned.</w:t>
            </w:r>
          </w:p>
        </w:tc>
      </w:tr>
      <w:tr>
        <w:tc>
          <w:tcPr>
            <w:tcW w:type="dxa" w:w="25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Tests</w:t>
            </w:r>
          </w:p>
        </w:tc>
        <w:tc>
          <w:tcPr>
            <w:tcW w:type="dxa" w:w="25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Test suite passes and covers the PRD's acceptance criteria, including at least one edge/failure case.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Review &amp; CI/CD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AI code review findings are logged and addressed; a real, green CI/CD run is provided as evidence.</w:t>
            </w:r>
          </w:p>
        </w:tc>
      </w:tr>
      <w:tr>
        <w:tc>
          <w:tcPr>
            <w:tcW w:type="dxa" w:w="25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Documentation &amp; Governance</w:t>
            </w:r>
          </w:p>
        </w:tc>
        <w:tc>
          <w:tcPr>
            <w:tcW w:type="dxa" w:w="2500"/>
            <w:shd w:fill="E8E8E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README, ADR, and governance note are complete and specific to this feature, not generic boilerplate.</w:t>
            </w:r>
          </w:p>
        </w:tc>
      </w:tr>
      <w:tr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Demo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Live walkthrough is clear, and the presenter can defend at least one AI-assisted decision under questioning.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  <w:rPr>
        <w:color w:val="40404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2026-08-31T13:59:54.438Z</dcterms:created>
  <dcterms:modified xsi:type="dcterms:W3CDTF">2026-08-31T13:59:54.476Z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