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75405" w:history="1">
            <w:r>
              <w:rPr>
                <w:rStyle w:val="Hipervnculo"/>
                <w:b/>
                <w:bCs/>
                <w:noProof/>
              </w:rPr>
              <w:t>1. Introducción y resumen del caso</w:t>
            </w:r>
            <w:r>
              <w:rPr>
                <w:noProof/>
              </w:rPr>
              <w:tab/>
              <w:fldChar w:fldCharType="begin"/>
              <w:instrText xml:space="preserve"> PAGEREF _Toc241775405 \h </w:instrText>
              <w:fldChar w:fldCharType="separate"/>
              <w:t>3</w:t>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fldChar w:fldCharType="begin"/>
              <w:instrText xml:space="preserve"> PAGEREF _Toc241775406 \h </w:instrText>
              <w:fldChar w:fldCharType="separate"/>
              <w:t>4</w:t>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fldChar w:fldCharType="begin"/>
              <w:instrText xml:space="preserve"> PAGEREF _Toc241775407 \h </w:instrText>
              <w:fldChar w:fldCharType="separate"/>
              <w:t>4</w:t>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fldChar w:fldCharType="begin"/>
              <w:instrText xml:space="preserve"> PAGEREF _Toc241775408 \h </w:instrText>
              <w:fldChar w:fldCharType="separate"/>
              <w:t>5</w:t>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fldChar w:fldCharType="begin"/>
              <w:instrText xml:space="preserve"> PAGEREF _Toc241775409 \h </w:instrText>
              <w:fldChar w:fldCharType="separate"/>
              <w:t>5</w:t>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fldChar w:fldCharType="begin"/>
              <w:instrText xml:space="preserve"> PAGEREF _Toc241775410 \h </w:instrText>
              <w:fldChar w:fldCharType="separate"/>
              <w:t>6</w:t>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fldChar w:fldCharType="begin"/>
              <w:instrText xml:space="preserve"> PAGEREF _Toc241775411 \h </w:instrText>
              <w:fldChar w:fldCharType="separate"/>
              <w:t>7</w:t>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fldChar w:fldCharType="begin"/>
              <w:instrText xml:space="preserve"> PAGEREF _Toc241775412 \h </w:instrText>
              <w:fldChar w:fldCharType="separate"/>
              <w:t>11</w:t>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fldChar w:fldCharType="begin"/>
              <w:instrText xml:space="preserve"> PAGEREF _Toc241775413 \h </w:instrText>
              <w:fldChar w:fldCharType="separate"/>
              <w:t>13</w:t>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fldChar w:fldCharType="begin"/>
              <w:instrText xml:space="preserve"> PAGEREF _Toc241775414 \h </w:instrText>
              <w:fldChar w:fldCharType="separate"/>
              <w:t>15</w:t>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fldChar w:fldCharType="begin"/>
              <w:instrText xml:space="preserve"> PAGEREF _Toc241775415 \h </w:instrText>
              <w:fldChar w:fldCharType="separate"/>
              <w:t>17</w:t>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fldChar w:fldCharType="begin"/>
              <w:instrText xml:space="preserve"> PAGEREF _Toc241775416 \h </w:instrText>
              <w:fldChar w:fldCharType="separate"/>
              <w:t>17</w:t>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fldChar w:fldCharType="begin"/>
              <w:instrText xml:space="preserve"> PAGEREF _Toc241775417 \h </w:instrText>
              <w:fldChar w:fldCharType="separate"/>
              <w:t>17</w:t>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fldChar w:fldCharType="begin"/>
              <w:instrText xml:space="preserve"> PAGEREF _Toc241775418 \h </w:instrText>
              <w:fldChar w:fldCharType="separate"/>
              <w:t>17</w:t>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fldChar w:fldCharType="begin"/>
              <w:instrText xml:space="preserve"> PAGEREF _Toc241775419 \h </w:instrText>
              <w:fldChar w:fldCharType="separate"/>
              <w:t>18</w:t>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fldChar w:fldCharType="begin"/>
              <w:instrText xml:space="preserve"> PAGEREF _Toc241775420 \h </w:instrText>
              <w:fldChar w:fldCharType="separate"/>
              <w:t>18</w:t>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fldChar w:fldCharType="begin"/>
              <w:instrText xml:space="preserve"> PAGEREF _Toc241775421 \h </w:instrText>
              <w:fldChar w:fldCharType="separate"/>
              <w:t>18</w:t>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fldChar w:fldCharType="begin"/>
              <w:instrText xml:space="preserve"> PAGEREF _Toc241775422 \h </w:instrText>
              <w:fldChar w:fldCharType="separate"/>
              <w:t>19</w:t>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Uso crítico de herramientas de IA</w:t>
            </w:r>
            <w:r>
              <w:rPr>
                <w:noProof/>
              </w:rPr>
              <w:tab/>
              <w:fldChar w:fldCharType="begin"/>
              <w:instrText xml:space="preserve"> PAGEREF _Toc241775423 \h </w:instrText>
              <w:fldChar w:fldCharType="separate"/>
              <w:t>21</w:t>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fldChar w:fldCharType="begin"/>
              <w:instrText xml:space="preserve"> PAGEREF _Toc241775424 \h </w:instrText>
              <w:fldChar w:fldCharType="separate"/>
              <w:t>23</w:t>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fldChar w:fldCharType="begin"/>
              <w:instrText xml:space="preserve"> PAGEREF _Toc241775425 \h </w:instrText>
              <w:fldChar w:fldCharType="separate"/>
              <w:t>23</w:t>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fldChar w:fldCharType="begin"/>
              <w:instrText xml:space="preserve"> PAGEREF _Toc241775426 \h </w:instrText>
              <w:fldChar w:fldCharType="separate"/>
              <w:t>23</w:t>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fldChar w:fldCharType="begin"/>
              <w:instrText xml:space="preserve"> PAGEREF _Toc241775427 \h </w:instrText>
              <w:fldChar w:fldCharType="separate"/>
              <w:t>23</w:t>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fldChar w:fldCharType="begin"/>
              <w:instrText xml:space="preserve"> PAGEREF _Toc241775428 \h </w:instrText>
              <w:fldChar w:fldCharType="separate"/>
              <w:t>26</w:t>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FR-15 (historial de reservas autoconsultable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t>3.1 Diagramas de procesos de negocio (BPMN)</w:t>
      </w:r>
      <w:bookmarkEnd w:id="6"/>
    </w:p>
    <w:p w14:paraId="3C33567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29B6D6AB"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Destino; DestinoRepositorio.existe_nombre()</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r>
              <w:rPr>
                <w:sz w:val="18"/>
                <w:szCs w:val="18"/>
              </w:rPr>
              <w:t>Destino.actualizar()</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r>
              <w:rPr>
                <w:sz w:val="18"/>
                <w:szCs w:val="18"/>
              </w:rPr>
              <w:t>Destino.marcar_no_disponible(); DestinoRepositorio.esta_en_algun_paquete(),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r>
              <w:rPr>
                <w:sz w:val="18"/>
                <w:szCs w:val="18"/>
              </w:rPr>
              <w:t>Destino.disponible; DestinoRepositorio.listar()</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r>
              <w:rPr>
                <w:sz w:val="18"/>
                <w:szCs w:val="18"/>
              </w:rPr>
              <w:t>Paquete.calcular_precio()</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r>
              <w:rPr>
                <w:sz w:val="18"/>
                <w:szCs w:val="18"/>
              </w:rPr>
              <w:t>Paquete.publicar(); EstadoPaquete</w:t>
            </w:r>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r>
              <w:rPr>
                <w:sz w:val="18"/>
                <w:szCs w:val="18"/>
              </w:rPr>
              <w:t>Paquete.cupo_disponible(); PaqueteRepositorio.personas_reservadas()</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Cliente; ClienteRepositorio.guardar()</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r>
              <w:rPr>
                <w:sz w:val="18"/>
                <w:szCs w:val="18"/>
              </w:rPr>
              <w:t>Usuario.verificar_contrasena(); ClienteRepositorio.buscar_por_correo()</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r>
              <w:rPr>
                <w:sz w:val="18"/>
                <w:szCs w:val="18"/>
              </w:rPr>
              <w:t>Reserva.crear(); fecha_emision, cantidad_personas,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677102A4" w14:textId="77777777" w:rsidR="001B7A8D" w:rsidRDefault="007F7D87">
            <w:r>
              <w:rPr>
                <w:sz w:val="18"/>
                <w:szCs w:val="18"/>
              </w:rPr>
              <w:t>Paquete.cupo_disponible(); Reserva.crear()</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r>
              <w:rPr>
                <w:sz w:val="18"/>
                <w:szCs w:val="18"/>
              </w:rPr>
              <w:t>Paquete.esta_vencido(hoy)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r>
              <w:rPr>
                <w:sz w:val="18"/>
                <w:szCs w:val="18"/>
              </w:rPr>
              <w:t>ReservaRepositorio.listar_por_cliente()</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r>
              <w:rPr>
                <w:sz w:val="18"/>
                <w:szCs w:val="18"/>
              </w:rPr>
              <w:t>Usuario.hash_contrasena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r>
              <w:rPr>
                <w:sz w:val="18"/>
                <w:szCs w:val="18"/>
              </w:rPr>
              <w:t>Cliente.datos_publicos(); rut y telefono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r>
              <w:rPr>
                <w:sz w:val="18"/>
                <w:szCs w:val="18"/>
              </w:rPr>
              <w:t>Usuario.puede_gestionar_catalogo()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r>
              <w:rPr>
                <w:sz w:val="18"/>
                <w:szCs w:val="18"/>
              </w:rPr>
              <w:t>calcular_precio(), esta_vencido(), cupo_disponible(), Reserva.crear()</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t>4. Metodología de trabajo ágil</w:t>
      </w:r>
      <w:bookmarkEnd w:id="10"/>
    </w:p>
    <w:p w14:paraId="51C2D94F"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Líder de Proyecto + Developer</w:t>
            </w:r>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r>
              <w:t>Developer</w:t>
            </w:r>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4.2 Product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Default="00940771">
            <w: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Los Sprints 0 y 1 ya se completaron (ver Cambio 3 a Cambio 7 en VALIDACION_IA.md): los 4 dominios (HU-01 a HU-04) están implementados y probados. El Sprint 2 se reparte así: Camilo Sepúlveda integra los 4 dominios en un flujo único de extremo a extremo y revisa la seguridad del sistema integrado (sección 7.3) — construyó el esqueleto compartido en el Cambio 6 y conoce ambos lados de la API —, y Logan Silva construye el frontend React/Vite (HU-05, RNF-06) sobre las rutas ya existentes. Decisión del equipo del 1 de octubre, registrada en VALIDACION_IA.md (Cambio 8).</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14235638"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 El frontend (frontend/src/) usa react-router-dom para las rutas (catálogo público, detalle de paquete, registro/login de cliente, historial de reservas, y login/CRUD de administrador) y un contexto de autenticación (auth.jsx) que guarda el token y el rol en localStorage, igual que hace el backend: el rol que decide qué puede hacer un usuario sale siempre del token, nunca de lo que el frontend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(costo_base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(cupo_maximo &gt; 0; fecha_regreso &gt; fecha_salida), R6 (margen ≥ 0), R7 (precio_por_persona),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r>
              <w:rPr>
                <w:sz w:val="18"/>
                <w:szCs w:val="18"/>
              </w:rPr>
              <w:t>paquete_destinos</w:t>
            </w:r>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(paquete_id, destino_id)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(hash_contrasena: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(hash_contrasena). No hay registro público: se crean desde la consola con python -m app.crear_administrador</w:t>
            </w:r>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(cantidad_personas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r>
              <w:rPr>
                <w:b/>
                <w:bCs/>
                <w:color w:val="FFFFFF"/>
                <w:sz w:val="18"/>
                <w:szCs w:val="18"/>
              </w:rPr>
              <w:t>Req.</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Listar el catálogo (filtro opcional solo_disponibles)</w:t>
            </w:r>
          </w:p>
        </w:tc>
        <w:tc>
          <w:tcPr>
            <w:tcW w:w="1000" w:type="dxa"/>
            <w:tcMar>
              <w:top w:w="60" w:type="dxa"/>
              <w:left w:w="100" w:type="dxa"/>
              <w:bottom w:w="60" w:type="dxa"/>
              <w:right w:w="100" w:type="dxa"/>
            </w:tcMar>
            <w:vAlign w:val="center"/>
          </w:tcPr>
          <w:p w14:paraId="63BCB7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r>
              <w:rPr>
                <w:sz w:val="18"/>
                <w:szCs w:val="18"/>
              </w:rPr>
              <w:t>Admin</w:t>
            </w:r>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r>
              <w:rPr>
                <w:sz w:val="18"/>
                <w:szCs w:val="18"/>
              </w:rPr>
              <w:t>Admin</w:t>
            </w:r>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r>
              <w:rPr>
                <w:sz w:val="18"/>
                <w:szCs w:val="18"/>
              </w:rPr>
              <w:t>Admin</w:t>
            </w:r>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r>
              <w:rPr>
                <w:sz w:val="18"/>
                <w:szCs w:val="18"/>
              </w:rPr>
              <w:t>Admin</w:t>
            </w:r>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129 pruebas automatizadas (pytest),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t>6.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Framework de backend</w:t>
            </w:r>
          </w:p>
        </w:tc>
        <w:tc>
          <w:tcPr>
            <w:tcW w:w="3450" w:type="dxa"/>
            <w:tcMar>
              <w:top w:w="60" w:type="dxa"/>
              <w:left w:w="100" w:type="dxa"/>
              <w:bottom w:w="60" w:type="dxa"/>
              <w:right w:w="100" w:type="dxa"/>
            </w:tcMar>
            <w:vAlign w:val="center"/>
          </w:tcPr>
          <w:p w14:paraId="5BF6E76D" w14:textId="77777777" w:rsidR="004E5C77" w:rsidRDefault="009513B6">
            <w:r>
              <w:rPr>
                <w:sz w:val="18"/>
                <w:szCs w:val="18"/>
              </w:rPr>
              <w:t>Flask vs. FastAPI</w:t>
            </w:r>
          </w:p>
        </w:tc>
        <w:tc>
          <w:tcPr>
            <w:tcW w:w="3700" w:type="dxa"/>
            <w:tcMar>
              <w:top w:w="60" w:type="dxa"/>
              <w:left w:w="100" w:type="dxa"/>
              <w:bottom w:w="60" w:type="dxa"/>
              <w:right w:w="100" w:type="dxa"/>
            </w:tcMar>
            <w:vAlign w:val="center"/>
          </w:tcPr>
          <w:p w14:paraId="2A1929F3" w14:textId="77777777" w:rsidR="004E5C77" w:rsidRDefault="009513B6">
            <w:r>
              <w:rPr>
                <w:sz w:val="18"/>
                <w:szCs w:val="18"/>
              </w:rPr>
              <w:t>Se adoptó FastAPI por la validación automática de tipos con Pydantic y la documentación interactiva (/docs).</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(FastAPI sirve el build de React) para que la evaluación no dependa de instalar Node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r>
              <w:rPr>
                <w:sz w:val="18"/>
                <w:szCs w:val="18"/>
              </w:rPr>
              <w:t>Frontend</w:t>
            </w:r>
          </w:p>
        </w:tc>
        <w:tc>
          <w:tcPr>
            <w:tcW w:w="3450" w:type="dxa"/>
            <w:tcMar>
              <w:top w:w="60" w:type="dxa"/>
              <w:left w:w="100" w:type="dxa"/>
              <w:bottom w:w="60" w:type="dxa"/>
              <w:right w:w="100" w:type="dxa"/>
            </w:tcMar>
            <w:vAlign w:val="center"/>
          </w:tcPr>
          <w:p w14:paraId="3D334EB6" w14:textId="77777777" w:rsidR="004E5C77" w:rsidRDefault="009513B6">
            <w:r>
              <w:rPr>
                <w:sz w:val="18"/>
                <w:szCs w:val="18"/>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proxy/build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Se adoptó el dominio como única fuente de verdad, fiel al diagrama de clases y a RNF-05. Pydantic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641B00D5" w14:textId="77777777" w:rsidR="004E5C77" w:rsidRDefault="009513B6">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r>
              <w:rPr>
                <w:sz w:val="18"/>
                <w:szCs w:val="18"/>
              </w:rPr>
              <w:t>httpx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La versión instalada de Starlette marca httpx como obsoleto para TestClient;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Default="009513B6">
            <w:r>
              <w:rPr>
                <w:sz w:val="18"/>
                <w:szCs w:val="18"/>
              </w:rPr>
              <w:t>passlib[bcrypt] vs. bcrypt directo</w:t>
            </w:r>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Se adoptó el rol de administrador: el supuesto S1, RNF-03 y el diagrama de clases (Usuario → Cliente / Administrador, puede_gestionar_catalogo())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(SonarCloud) vs. ataques medidos contra el servidor real más Bandit, pip-audit y SonarLint</w:t>
            </w:r>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frontend compilado</w:t>
            </w:r>
          </w:p>
        </w:tc>
        <w:tc>
          <w:tcPr>
            <w:tcW w:w="345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solo vs. comodín de ruta + index.html</w:t>
            </w:r>
          </w:p>
        </w:tc>
        <w:tc>
          <w:tcPr>
            <w:tcW w:w="37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StaticFiles(html=True) sirve index.html en “/” pero responde 404 ante una ruta propia de React Router (ej. /admin, /paquetes/3) porque no existe un archivo con ese nombre; se reprodujo navegando directo a esas URLs sobre el build servido. Se reemplazó por una ruta comodín (“/{ruta_spa:path}”) que sirve el archivo estático si existe y si no, index.html, dejando que react-router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t>7. Seguridad</w:t>
      </w:r>
      <w:bookmarkEnd w:id="19"/>
    </w:p>
    <w:p w14:paraId="6A7DEC9D" w14:textId="77777777" w:rsidR="004E5C77" w:rsidRDefault="009513B6">
      <w:pPr>
        <w:spacing w:after="120"/>
      </w:pPr>
      <w:r>
        <w:t>Esta sección describe los mecanismos de seguridad implementados en los Sprints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r>
              <w:rPr>
                <w:sz w:val="18"/>
                <w:szCs w:val="18"/>
              </w:rPr>
              <w:t>bcrypt (PyPI oficial), factor de costo 12, usado directamente sin passlib: su última versión (1.7.4) es incompatible con bcrypt ≥ 4.1 (ver sección 6). Se descarta cualquier hash reversible o sin salt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r>
              <w:rPr>
                <w:sz w:val="18"/>
                <w:szCs w:val="18"/>
              </w:rPr>
              <w:t>PyJWT, algoritmo HS256 fijado al decodificar (se rechaza un token sin firma, con algoritmo «none»), expiración de 30 minutos. La clave secreta se lee de la variable de entorno JWT_SECRET, nunca escrita en el código, y debe tener al menos 32 bytes (256 bits); si no, la API no emite tokens.</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Ante un correo inexistente o una contraseña incorrecta la API responde el mismo mensaje genérico y tarda lo mismo: si el correo no existe, igual se ejecuta una verificación bcrypt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Reservar y consultar reservas exige un token de cliente; el cliente_id sale del token, nunca de un parámetro (R11). Las rutas que modifican el catálogo exigen un usuario que pueda gestionarlo: se le pregunta puede_gestionar_catalogo()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(python -m app.crear_administrador), que pide la contraseña sin mostrarla,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6314A694"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La revisión se hizo el 1 de octubre, con los 4 dominios ya integrados, combinando tres fuentes: (1) revisión manual del código de los 4 dominios contra las secciones 7.1 y 7.2; (2) ataques contra el servidor en ejecución (uvicorn) para medir cada sospecha antes de darla por cierta; y (3) análisis estático con Bandit (PyCQA) y pip-audit (PyPA), ambos de PyPI, más SonarLint en el editor. SonarCloud, previsto originalmente, no se ejecutó porque requiere vincular el repositorio a una cuenta; Bandit cubre las reglas de inyección SQL, secretos y manejo de excepciones de la checklist.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Verificar contra un hash bcrypt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216 ms contra 220 ms; prueba que cuenta las verificaciones bcrypt.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«abc»).</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(SonarLint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r>
              <w:rPr>
                <w:sz w:val="18"/>
                <w:szCs w:val="18"/>
              </w:rPr>
              <w:t>SonarLint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Se reemplazó por bytes aleatorios (módulo secrets),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r>
              <w:rPr>
                <w:sz w:val="18"/>
                <w:szCs w:val="18"/>
              </w:rPr>
              <w:t>SonarLint sin avisos.</w:t>
            </w:r>
          </w:p>
        </w:tc>
      </w:tr>
    </w:tbl>
    <w:p w14:paraId="0A401DC4" w14:textId="77777777" w:rsidR="004E5C77" w:rsidRDefault="004E5C77">
      <w:pPr>
        <w:spacing w:after="120"/>
      </w:pPr>
    </w:p>
    <w:p w14:paraId="58C2AE69" w14:textId="77777777" w:rsidR="004E5C77" w:rsidRDefault="009513B6">
      <w:pPr>
        <w:spacing w:after="80"/>
      </w:pPr>
      <w:r>
        <w:t>Checklist de la revisión:</w:t>
      </w:r>
    </w:p>
    <w:p w14:paraId="3FA9D38D" w14:textId="77777777" w:rsidR="004E5C77" w:rsidRDefault="009513B6">
      <w:pPr>
        <w:pStyle w:val="Prrafodelista"/>
        <w:numPr>
          <w:ilvl w:val="0"/>
          <w:numId w:val="1"/>
        </w:numPr>
        <w:spacing w:after="60"/>
        <w:jc w:val="both"/>
      </w:pPr>
      <w:r>
        <w:rPr>
          <w:b/>
          <w:bCs/>
        </w:rPr>
        <w:t xml:space="preserve">Inyección SQL: </w:t>
      </w:r>
      <w:r>
        <w:t>todas las consultas usan parámetros (?). Bandit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(Bandit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r>
        <w:t>pip-audit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hay límite de intentos de inicio de sesión: con bcrypt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t>8. Estado actual y próximos pasos</w:t>
      </w:r>
      <w:bookmarkEnd w:id="23"/>
    </w:p>
    <w:p w14:paraId="1B1B69CA"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backend/ y frontend/ del repositorio (avance en la sección 5.3), con los 5 dominios (incluido el frontend)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Roles del equipo, Product Backlog y Sprint Backlog con cronograma hasta el 5 de octubre (sección 4).</w:t>
      </w:r>
    </w:p>
    <w:p w14:paraId="53C6F2BE"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125B37EC"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507D047E"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6722329C" w14:textId="77777777" w:rsidR="00455633" w:rsidRDefault="00940771">
      <w:pPr>
        <w:pStyle w:val="Prrafodelista"/>
        <w:numPr>
          <w:ilvl w:val="0"/>
          <w:numId w:val="1"/>
        </w:numPr>
        <w:spacing w:after="60"/>
      </w:pPr>
      <w:r>
        <w:t>Los 4 dominios del Sprint 1 (HU-01 a HU-04): Destinos y Paquetes (Camilo Sepúlveda), Clientes/seguridad y Reservas (Logan Silva). En el Sprint 2, su integración en un flujo único con autenticación de administrador y la revisión de seguridad del sistema integrado (Camilo Sepúlveda; secciones 5.3 y 7.3). 129 pruebas automatizadas en total.</w:t>
      </w:r>
    </w:p>
    <w:p w14:paraId="7E200001" w14:textId="77777777" w:rsidR="00455633" w:rsidRDefault="00940771">
      <w:pPr>
        <w:pStyle w:val="Prrafodelista"/>
        <w:numPr>
          <w:ilvl w:val="0"/>
          <w:numId w:val="1"/>
        </w:numPr>
        <w:spacing w:after="60"/>
      </w:pPr>
      <w:r>
        <w:t xml:space="preserve">Frontend React/Vite (Logan Silva): catálogo público, detalle y reserva de paquete, registro/login/historial de cliente, y login + CRUD de destinos/paquetes de administrador, consumiendo la API ya integrada. Recorrido de punta a punta con un navegador real (Playwright) sin errores de consola.</w:t>
      </w:r>
    </w:p>
    <w:p w14:paraId="25FC6689" w14:textId="77777777" w:rsidR="00455633" w:rsidRDefault="00940771">
      <w:pPr>
        <w:spacing w:after="120"/>
      </w:pPr>
      <w:r>
        <w:rPr>
          <w:b/>
          <w:bCs/>
        </w:rPr>
        <w:t>Pendiente (Sprint 1 y 2):</w:t>
      </w:r>
    </w:p>
    <w:p w14:paraId="5EF663C5" w14:textId="77777777" w:rsidR="00455633" w:rsidRDefault="00940771">
      <w:pPr>
        <w:pStyle w:val="Prrafodelista"/>
        <w:numPr>
          <w:ilvl w:val="0"/>
          <w:numId w:val="1"/>
        </w:numPr>
        <w:spacing w:after="60"/>
      </w:pPr>
      <w:r>
        <w:t>Crear las cuentas de los tres socios con python -m app.crear_administrador al instalar el sistema.</w:t>
      </w:r>
    </w:p>
    <w:p w14:paraId="17A6FFA3" w14:textId="77777777" w:rsidR="00455633" w:rsidRDefault="00940771">
      <w:pPr>
        <w:pStyle w:val="Prrafodelista"/>
        <w:numPr>
          <w:ilvl w:val="0"/>
          <w:numId w:val="1"/>
        </w:numPr>
        <w:spacing w:after="60"/>
      </w:pPr>
      <w:r>
        <w:t>Opcional: ejecutar SonarCloud sobre el repositorio, que quedó pendiente porque requiere vincular una cuenta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60537F" w14:textId="77777777" w:rsidR="009513B6" w:rsidRDefault="009513B6">
      <w:r>
        <w:separator/>
      </w:r>
    </w:p>
  </w:endnote>
  <w:endnote w:type="continuationSeparator" w:id="0">
    <w:p w14:paraId="49909F6C" w14:textId="77777777" w:rsidR="009513B6" w:rsidRDefault="009513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835D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90085"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6DF83"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D1E3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11F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4466F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CD61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A9527"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249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D58328" w14:textId="77777777" w:rsidR="009513B6" w:rsidRDefault="009513B6">
      <w:r>
        <w:separator/>
      </w:r>
    </w:p>
  </w:footnote>
  <w:footnote w:type="continuationSeparator" w:id="0">
    <w:p w14:paraId="6C897F3E" w14:textId="77777777" w:rsidR="009513B6" w:rsidRDefault="009513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435E9"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1666ED"/>
    <w:rsid w:val="001B7A8D"/>
    <w:rsid w:val="00280354"/>
    <w:rsid w:val="00402EB0"/>
    <w:rsid w:val="00455633"/>
    <w:rsid w:val="0049780C"/>
    <w:rsid w:val="004E5C77"/>
    <w:rsid w:val="004F6BFD"/>
    <w:rsid w:val="00606B37"/>
    <w:rsid w:val="00614755"/>
    <w:rsid w:val="00691091"/>
    <w:rsid w:val="00710D12"/>
    <w:rsid w:val="007F7D87"/>
    <w:rsid w:val="00940771"/>
    <w:rsid w:val="009513B6"/>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7253</Words>
  <Characters>39896</Characters>
  <Application>Microsoft Office Word</Application>
  <DocSecurity>0</DocSecurity>
  <Lines>332</Lines>
  <Paragraphs>94</Paragraphs>
  <ScaleCrop>false</ScaleCrop>
  <Company/>
  <LinksUpToDate>false</LinksUpToDate>
  <CharactersWithSpaces>47055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7</cp:revision>
  <dcterms:created xsi:type="dcterms:W3CDTF">2026-09-30T23:52:00Z</dcterms:created>
  <dcterms:modified xsi:type="dcterms:W3CDTF">2026-10-01T22:29:00Z</dcterms:modified>
</cp:coreProperties>
</file>