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666666"/>
          <w:sz w:val="28"/>
          <w:szCs w:val="28"/>
        </w:rPr>
        <w:t xml:space="preserve">DigiCert Trust Lifecycle Manager</w:t>
      </w:r>
    </w:p>
    <w:p>
      <w:pPr>
        <w:spacing w:after="100"/>
        <w:jc w:val="center"/>
      </w:pPr>
      <w:r>
        <w:rPr>
          <w:rFonts w:ascii="Arial" w:cs="Arial" w:eastAsia="Arial" w:hAnsi="Arial"/>
          <w:b/>
          <w:bCs/>
          <w:color w:val="0055A4"/>
          <w:sz w:val="48"/>
          <w:szCs w:val="48"/>
        </w:rPr>
        <w:t xml:space="preserve">TLM Agent 3.1.7+</w:t>
      </w:r>
    </w:p>
    <w:p>
      <w:pPr>
        <w:spacing w:after="200"/>
        <w:jc w:val="center"/>
      </w:pPr>
      <w:r>
        <w:rPr>
          <w:rFonts w:ascii="Arial" w:cs="Arial" w:eastAsia="Arial" w:hAnsi="Arial"/>
          <w:color w:val="333333"/>
          <w:sz w:val="32"/>
          <w:szCs w:val="32"/>
        </w:rPr>
        <w:t xml:space="preserve">Automated Installation via Group Policy</w:t>
      </w:r>
    </w:p>
    <w:p>
      <w:pPr>
        <w:spacing w:before="200"/>
        <w:jc w:val="center"/>
      </w:pPr>
      <w:r>
        <w:rPr>
          <w:rFonts w:ascii="Arial" w:cs="Arial" w:eastAsia="Arial" w:hAnsi="Arial"/>
          <w:color w:val="666666"/>
          <w:sz w:val="24"/>
          <w:szCs w:val="24"/>
        </w:rPr>
        <w:t xml:space="preserve">Configuration Guide</w:t>
      </w:r>
    </w:p>
    <w:p>
      <w:pPr>
        <w:spacing w:before="800"/>
        <w:jc w:val="center"/>
      </w:pPr>
      <w:r>
        <w:rPr>
          <w:rFonts w:ascii="Arial" w:cs="Arial" w:eastAsia="Arial" w:hAnsi="Arial"/>
          <w:color w:val="666666"/>
          <w:sz w:val="22"/>
          <w:szCs w:val="22"/>
        </w:rPr>
        <w:t xml:space="preserve">February 2026</w:t>
      </w:r>
    </w:p>
    <w:p>
      <w:r>
        <w:br w:type="page"/>
      </w:r>
    </w:p>
    <w:p>
      <w:pPr>
        <w:sectPr>
          <w:pgSz w:w="12240" w:h="15840" w:orient="portrait"/>
          <w:pgMar w:top="1440" w:right="1440" w:bottom="1440" w:left="1440" w:header="708" w:footer="708" w:gutter="0"/>
          <w:pgNumType/>
          <w:docGrid w:linePitch="360"/>
        </w:sectPr>
      </w:pPr>
    </w:p>
    <w:p>
      <w:pPr>
        <w:spacing w:before="360" w:after="200"/>
      </w:pPr>
      <w:r>
        <w:rPr>
          <w:rFonts w:ascii="Arial" w:cs="Arial" w:eastAsia="Arial" w:hAnsi="Arial"/>
          <w:b/>
          <w:bCs/>
          <w:color w:val="0055A4"/>
          <w:sz w:val="32"/>
          <w:szCs w:val="32"/>
        </w:rPr>
        <w:t xml:space="preserve">1. Prerequisites</w:t>
      </w:r>
    </w:p>
    <w:p>
      <w:pPr>
        <w:spacing w:before="60" w:after="100"/>
      </w:pPr>
      <w:r>
        <w:rPr>
          <w:rFonts w:ascii="Arial" w:cs="Arial" w:eastAsia="Arial" w:hAnsi="Arial"/>
          <w:color w:val="333333"/>
          <w:sz w:val="20"/>
          <w:szCs w:val="20"/>
        </w:rPr>
        <w:t xml:space="preserve">Ensure the following are available before beginning the GPO configuration.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Agent Installer</w:t>
            </w:r>
          </w:p>
        </w:tc>
        <w:tc>
          <w:tcPr>
            <w:tcW w:type="dxa" w:w="6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DigiCert TLM Agent .exe (v3.1.7+) — download from TLM Agent Download Page</w:t>
            </w:r>
          </w:p>
        </w:tc>
      </w:tr>
      <w:tr>
        <w:tc>
          <w:tcPr>
            <w:tcW w:type="dxa" w:w="3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PowerShell Script</w:t>
            </w:r>
          </w:p>
        </w:tc>
        <w:tc>
          <w:tcPr>
            <w:tcW w:type="dxa" w:w="61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Deploy-TLMAgent.ps1 (provided with this guide)</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Service Account</w:t>
            </w:r>
          </w:p>
        </w:tc>
        <w:tc>
          <w:tcPr>
            <w:tcW w:type="dxa" w:w="6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Domain account with read/execute permissions on the network share and local admin rights on target machines</w:t>
            </w:r>
          </w:p>
        </w:tc>
      </w:tr>
      <w:tr>
        <w:tc>
          <w:tcPr>
            <w:tcW w:type="dxa" w:w="3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API Key</w:t>
            </w:r>
          </w:p>
        </w:tc>
        <w:tc>
          <w:tcPr>
            <w:tcW w:type="dxa" w:w="61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DigiCert ONE API key with Infrastructure Admin and User &amp; Certificate Manager roles</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Business Group ID</w:t>
            </w:r>
          </w:p>
        </w:tc>
        <w:tc>
          <w:tcPr>
            <w:tcW w:type="dxa" w:w="6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TLM Business Group ID for agent activation</w:t>
            </w:r>
          </w:p>
        </w:tc>
      </w:tr>
      <w:tr>
        <w:tc>
          <w:tcPr>
            <w:tcW w:type="dxa" w:w="3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Network Share</w:t>
            </w:r>
          </w:p>
        </w:tc>
        <w:tc>
          <w:tcPr>
            <w:tcW w:type="dxa" w:w="61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UNC path accessible by service account (e.g. \\FileServer\TLMAgentDeploy)</w:t>
            </w:r>
          </w:p>
        </w:tc>
      </w:tr>
    </w:tbl>
    <w:p>
      <w:pPr>
        <w:spacing w:before="80" w:after="80"/>
      </w:pPr>
    </w:p>
    <w:p>
      <w:pPr>
        <w:spacing w:before="300" w:after="160"/>
      </w:pPr>
      <w:r>
        <w:rPr>
          <w:rFonts w:ascii="Arial" w:cs="Arial" w:eastAsia="Arial" w:hAnsi="Arial"/>
          <w:b/>
          <w:bCs/>
          <w:color w:val="333333"/>
          <w:sz w:val="26"/>
          <w:szCs w:val="26"/>
        </w:rPr>
        <w:t xml:space="preserve">Share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55A4" w:sz="6"/>
              <w:bottom w:val="single" w:color="CCCCCC" w:sz="1"/>
              <w:right w:val="single" w:color="CCCCCC" w:sz="1"/>
            </w:tcBorders>
            <w:shd w:fill="F5F5F5" w:val="clear"/>
            <w:tcMar>
              <w:top w:type="dxa" w:w="100"/>
              <w:left w:type="dxa" w:w="200"/>
              <w:bottom w:type="dxa" w:w="100"/>
              <w:right w:type="dxa" w:w="200"/>
            </w:tcMar>
          </w:tcPr>
          <w:p>
            <w:pPr>
              <w:spacing w:before="20" w:after="20"/>
            </w:pPr>
            <w:r>
              <w:rPr>
                <w:rFonts w:ascii="Consolas" w:cs="Consolas" w:eastAsia="Consolas" w:hAnsi="Consolas"/>
                <w:color w:val="333333"/>
                <w:sz w:val="18"/>
                <w:szCs w:val="18"/>
              </w:rPr>
              <w:t xml:space="preserve">\\FileServer\TLMAgentDeploy\</w:t>
            </w:r>
          </w:p>
          <w:p>
            <w:pPr>
              <w:spacing w:before="20" w:after="20"/>
            </w:pPr>
            <w:r>
              <w:rPr>
                <w:rFonts w:ascii="Consolas" w:cs="Consolas" w:eastAsia="Consolas" w:hAnsi="Consolas"/>
                <w:color w:val="333333"/>
                <w:sz w:val="18"/>
                <w:szCs w:val="18"/>
              </w:rPr>
              <w:t xml:space="preserve">    files\</w:t>
            </w:r>
          </w:p>
          <w:p>
            <w:pPr>
              <w:spacing w:before="20" w:after="20"/>
            </w:pPr>
            <w:r>
              <w:rPr>
                <w:rFonts w:ascii="Consolas" w:cs="Consolas" w:eastAsia="Consolas" w:hAnsi="Consolas"/>
                <w:color w:val="333333"/>
                <w:sz w:val="18"/>
                <w:szCs w:val="18"/>
              </w:rPr>
              <w:t xml:space="preserve">        Deploy-TLMAgent.ps1</w:t>
            </w:r>
          </w:p>
          <w:p>
            <w:pPr>
              <w:spacing w:before="20" w:after="20"/>
            </w:pPr>
            <w:r>
              <w:rPr>
                <w:rFonts w:ascii="Consolas" w:cs="Consolas" w:eastAsia="Consolas" w:hAnsi="Consolas"/>
                <w:color w:val="333333"/>
                <w:sz w:val="18"/>
                <w:szCs w:val="18"/>
              </w:rPr>
              <w:t xml:space="preserve">        DigiCert TLM Agent.exe</w:t>
            </w:r>
          </w:p>
          <w:p>
            <w:pPr>
              <w:spacing w:before="20" w:after="20"/>
            </w:pPr>
            <w:r>
              <w:rPr>
                <w:rFonts w:ascii="Consolas" w:cs="Consolas" w:eastAsia="Consolas" w:hAnsi="Consolas"/>
                <w:color w:val="333333"/>
                <w:sz w:val="18"/>
                <w:szCs w:val="18"/>
              </w:rPr>
              <w:t xml:space="preserve">    logs\</w:t>
            </w:r>
          </w:p>
        </w:tc>
      </w:tr>
    </w:tbl>
    <w:p>
      <w:pPr>
        <w:spacing w:before="80" w:after="80"/>
      </w:pPr>
    </w:p>
    <w:p>
      <w:pPr>
        <w:spacing w:before="360" w:after="200"/>
      </w:pPr>
      <w:r>
        <w:rPr>
          <w:rFonts w:ascii="Arial" w:cs="Arial" w:eastAsia="Arial" w:hAnsi="Arial"/>
          <w:b/>
          <w:bCs/>
          <w:color w:val="0055A4"/>
          <w:sz w:val="32"/>
          <w:szCs w:val="32"/>
        </w:rPr>
        <w:t xml:space="preserve">2. GPO 1 — Environment Variables</w:t>
      </w:r>
    </w:p>
    <w:p>
      <w:pPr>
        <w:spacing w:before="60" w:after="100"/>
      </w:pPr>
      <w:r>
        <w:rPr>
          <w:rFonts w:ascii="Arial" w:cs="Arial" w:eastAsia="Arial" w:hAnsi="Arial"/>
          <w:color w:val="333333"/>
          <w:sz w:val="20"/>
          <w:szCs w:val="20"/>
        </w:rPr>
        <w:t xml:space="preserve">Create a Group Policy Object scoped to the target OU (not the entire domain).</w:t>
      </w:r>
    </w:p>
    <w:p>
      <w:pPr>
        <w:spacing w:before="300" w:after="160"/>
      </w:pPr>
      <w:r>
        <w:rPr>
          <w:rFonts w:ascii="Arial" w:cs="Arial" w:eastAsia="Arial" w:hAnsi="Arial"/>
          <w:b/>
          <w:bCs/>
          <w:color w:val="333333"/>
          <w:sz w:val="26"/>
          <w:szCs w:val="26"/>
        </w:rPr>
        <w:t xml:space="preserve">Navigation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55A4" w:sz="6"/>
              <w:bottom w:val="single" w:color="CCCCCC" w:sz="1"/>
              <w:right w:val="single" w:color="CCCCCC" w:sz="1"/>
            </w:tcBorders>
            <w:shd w:fill="F5F5F5" w:val="clear"/>
            <w:tcMar>
              <w:top w:type="dxa" w:w="100"/>
              <w:left w:type="dxa" w:w="200"/>
              <w:bottom w:type="dxa" w:w="100"/>
              <w:right w:type="dxa" w:w="200"/>
            </w:tcMar>
          </w:tcPr>
          <w:p>
            <w:pPr>
              <w:spacing w:before="20" w:after="20"/>
            </w:pPr>
            <w:r>
              <w:rPr>
                <w:rFonts w:ascii="Consolas" w:cs="Consolas" w:eastAsia="Consolas" w:hAnsi="Consolas"/>
                <w:color w:val="333333"/>
                <w:sz w:val="18"/>
                <w:szCs w:val="18"/>
              </w:rPr>
              <w:t xml:space="preserve">Computer Configuration &gt; Preferences &gt; Windows Settings &gt; Environment</w:t>
            </w:r>
          </w:p>
        </w:tc>
      </w:tr>
    </w:tbl>
    <w:p>
      <w:pPr>
        <w:spacing w:before="80" w:after="80"/>
      </w:pPr>
    </w:p>
    <w:p>
      <w:pPr>
        <w:spacing w:before="300" w:after="160"/>
      </w:pPr>
      <w:r>
        <w:rPr>
          <w:rFonts w:ascii="Arial" w:cs="Arial" w:eastAsia="Arial" w:hAnsi="Arial"/>
          <w:b/>
          <w:bCs/>
          <w:color w:val="333333"/>
          <w:sz w:val="26"/>
          <w:szCs w:val="26"/>
        </w:rPr>
        <w:t xml:space="preserve">Variables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380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96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DC_API_KEY</w:t>
            </w:r>
          </w:p>
        </w:tc>
        <w:tc>
          <w:tcPr>
            <w:tcW w:type="dxa" w:w="3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Your DigiCert ONE API key</w:t>
            </w:r>
          </w:p>
        </w:tc>
        <w:tc>
          <w:tcPr>
            <w:tcW w:type="dxa" w:w="2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6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TLM_BUSINESS_UNIT</w:t>
            </w:r>
          </w:p>
        </w:tc>
        <w:tc>
          <w:tcPr>
            <w:tcW w:type="dxa" w:w="38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Your TLM Business Group ID</w:t>
            </w:r>
          </w:p>
        </w:tc>
        <w:tc>
          <w:tcPr>
            <w:tcW w:type="dxa" w:w="29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DCONE_HOST</w:t>
            </w:r>
          </w:p>
        </w:tc>
        <w:tc>
          <w:tcPr>
            <w:tcW w:type="dxa" w:w="3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e.g. demo.one.digicert.com</w:t>
            </w:r>
          </w:p>
        </w:tc>
        <w:tc>
          <w:tcPr>
            <w:tcW w:type="dxa" w:w="2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Only for non-production (Demo/Staging)</w:t>
            </w:r>
          </w:p>
        </w:tc>
      </w:tr>
    </w:tbl>
    <w:p>
      <w:pPr>
        <w:spacing w:before="80" w:after="80"/>
      </w:pPr>
    </w:p>
    <w:p>
      <w:pPr>
        <w:spacing w:before="300" w:after="160"/>
      </w:pPr>
      <w:r>
        <w:rPr>
          <w:rFonts w:ascii="Arial" w:cs="Arial" w:eastAsia="Arial" w:hAnsi="Arial"/>
          <w:b/>
          <w:bCs/>
          <w:color w:val="333333"/>
          <w:sz w:val="26"/>
          <w:szCs w:val="26"/>
        </w:rPr>
        <w:t xml:space="preserve">General Tab Settings</w:t>
      </w:r>
    </w:p>
    <w:p>
      <w:pPr>
        <w:pStyle w:val="ListParagraph"/>
        <w:numPr>
          <w:ilvl w:val="0"/>
          <w:numId w:val="2"/>
        </w:numPr>
        <w:spacing w:before="60" w:after="60"/>
      </w:pPr>
      <w:r>
        <w:rPr>
          <w:rFonts w:ascii="Arial" w:cs="Arial" w:eastAsia="Arial" w:hAnsi="Arial"/>
          <w:b/>
          <w:bCs/>
          <w:color w:val="333333"/>
          <w:sz w:val="20"/>
          <w:szCs w:val="20"/>
        </w:rPr>
        <w:t xml:space="preserve">Action: </w:t>
      </w:r>
      <w:r>
        <w:rPr>
          <w:rFonts w:ascii="Arial" w:cs="Arial" w:eastAsia="Arial" w:hAnsi="Arial"/>
          <w:color w:val="333333"/>
          <w:sz w:val="20"/>
          <w:szCs w:val="20"/>
        </w:rPr>
        <w:t xml:space="preserve">Create</w:t>
      </w:r>
    </w:p>
    <w:p>
      <w:pPr>
        <w:pStyle w:val="ListParagraph"/>
        <w:numPr>
          <w:ilvl w:val="0"/>
          <w:numId w:val="2"/>
        </w:numPr>
        <w:spacing w:before="60" w:after="60"/>
      </w:pPr>
      <w:r>
        <w:rPr>
          <w:rFonts w:ascii="Arial" w:cs="Arial" w:eastAsia="Arial" w:hAnsi="Arial"/>
          <w:b/>
          <w:bCs/>
          <w:color w:val="333333"/>
          <w:sz w:val="20"/>
          <w:szCs w:val="20"/>
        </w:rPr>
        <w:t xml:space="preserve">Variable Type: </w:t>
      </w:r>
      <w:r>
        <w:rPr>
          <w:rFonts w:ascii="Arial" w:cs="Arial" w:eastAsia="Arial" w:hAnsi="Arial"/>
          <w:color w:val="333333"/>
          <w:sz w:val="20"/>
          <w:szCs w:val="20"/>
        </w:rPr>
        <w:t xml:space="preserve">System Variable</w:t>
      </w:r>
    </w:p>
    <w:p>
      <w:pPr>
        <w:pStyle w:val="ListParagraph"/>
        <w:numPr>
          <w:ilvl w:val="0"/>
          <w:numId w:val="2"/>
        </w:numPr>
        <w:spacing w:before="60" w:after="60"/>
      </w:pPr>
      <w:r>
        <w:rPr>
          <w:rFonts w:ascii="Arial" w:cs="Arial" w:eastAsia="Arial" w:hAnsi="Arial"/>
          <w:b/>
          <w:bCs/>
          <w:color w:val="333333"/>
          <w:sz w:val="20"/>
          <w:szCs w:val="20"/>
        </w:rPr>
        <w:t xml:space="preserve">Name: </w:t>
      </w:r>
      <w:r>
        <w:rPr>
          <w:rFonts w:ascii="Arial" w:cs="Arial" w:eastAsia="Arial" w:hAnsi="Arial"/>
          <w:color w:val="333333"/>
          <w:sz w:val="20"/>
          <w:szCs w:val="20"/>
        </w:rPr>
        <w:t xml:space="preserve">Set to the variable name (DC_API_KEY or TLM_BUSINESS_UNIT)</w:t>
      </w:r>
    </w:p>
    <w:p>
      <w:pPr>
        <w:pStyle w:val="ListParagraph"/>
        <w:numPr>
          <w:ilvl w:val="0"/>
          <w:numId w:val="2"/>
        </w:numPr>
        <w:spacing w:before="60" w:after="60"/>
      </w:pPr>
      <w:r>
        <w:rPr>
          <w:rFonts w:ascii="Arial" w:cs="Arial" w:eastAsia="Arial" w:hAnsi="Arial"/>
          <w:b/>
          <w:bCs/>
          <w:color w:val="333333"/>
          <w:sz w:val="20"/>
          <w:szCs w:val="20"/>
        </w:rPr>
        <w:t xml:space="preserve">Value: </w:t>
      </w:r>
      <w:r>
        <w:rPr>
          <w:rFonts w:ascii="Arial" w:cs="Arial" w:eastAsia="Arial" w:hAnsi="Arial"/>
          <w:color w:val="333333"/>
          <w:sz w:val="20"/>
          <w:szCs w:val="20"/>
        </w:rPr>
        <w:t xml:space="preserve">Set to the corresponding key or ID</w:t>
      </w:r>
    </w:p>
    <w:p>
      <w:pPr>
        <w:spacing w:before="80" w:after="80"/>
      </w:pPr>
    </w:p>
    <w:p>
      <w:pPr>
        <w:spacing w:before="300" w:after="160"/>
      </w:pPr>
      <w:r>
        <w:rPr>
          <w:rFonts w:ascii="Arial" w:cs="Arial" w:eastAsia="Arial" w:hAnsi="Arial"/>
          <w:b/>
          <w:bCs/>
          <w:color w:val="333333"/>
          <w:sz w:val="26"/>
          <w:szCs w:val="26"/>
        </w:rPr>
        <w:t xml:space="preserve">Common Tab Settings</w:t>
      </w:r>
    </w:p>
    <w:p>
      <w:pPr>
        <w:pStyle w:val="ListParagraph"/>
        <w:numPr>
          <w:ilvl w:val="0"/>
          <w:numId w:val="3"/>
        </w:numPr>
        <w:spacing w:before="60" w:after="60"/>
      </w:pPr>
      <w:r>
        <w:rPr>
          <w:rFonts w:ascii="Arial" w:cs="Arial" w:eastAsia="Arial" w:hAnsi="Arial"/>
          <w:color w:val="333333"/>
          <w:sz w:val="20"/>
          <w:szCs w:val="20"/>
        </w:rPr>
        <w:t xml:space="preserve">Tick </w:t>
      </w:r>
      <w:r>
        <w:rPr>
          <w:rFonts w:ascii="Arial" w:cs="Arial" w:eastAsia="Arial" w:hAnsi="Arial"/>
          <w:b/>
          <w:bCs/>
          <w:color w:val="333333"/>
          <w:sz w:val="20"/>
          <w:szCs w:val="20"/>
        </w:rPr>
        <w:t xml:space="preserve">Apply once and do not reapply</w:t>
      </w:r>
    </w:p>
    <w:p>
      <w:pPr>
        <w:spacing w:before="80" w:after="80"/>
      </w:pPr>
    </w:p>
    <w:p>
      <w:pPr>
        <w:spacing w:before="300" w:after="160"/>
      </w:pPr>
      <w:r>
        <w:rPr>
          <w:rFonts w:ascii="Arial" w:cs="Arial" w:eastAsia="Arial" w:hAnsi="Arial"/>
          <w:b/>
          <w:bCs/>
          <w:color w:val="333333"/>
          <w:sz w:val="26"/>
          <w:szCs w:val="26"/>
        </w:rPr>
        <w:t xml:space="preserve">Item-Level Targeting (Optional Security)</w:t>
      </w:r>
    </w:p>
    <w:p>
      <w:pPr>
        <w:spacing w:before="60" w:after="100"/>
      </w:pPr>
      <w:r>
        <w:rPr>
          <w:rFonts w:ascii="Arial" w:cs="Arial" w:eastAsia="Arial" w:hAnsi="Arial"/>
          <w:color w:val="333333"/>
          <w:sz w:val="20"/>
          <w:szCs w:val="20"/>
        </w:rPr>
        <w:t xml:space="preserve">To prevent the variables from being set on machines that already have the TLM Agent installed:</w:t>
      </w:r>
    </w:p>
    <w:p>
      <w:pPr>
        <w:pStyle w:val="ListParagraph"/>
        <w:numPr>
          <w:ilvl w:val="0"/>
          <w:numId w:val="2"/>
        </w:numPr>
        <w:spacing w:before="60" w:after="60"/>
      </w:pPr>
      <w:r>
        <w:rPr>
          <w:rFonts w:ascii="Arial" w:cs="Arial" w:eastAsia="Arial" w:hAnsi="Arial"/>
          <w:color w:val="333333"/>
          <w:sz w:val="20"/>
          <w:szCs w:val="20"/>
        </w:rPr>
        <w:t xml:space="preserve">Enable </w:t>
      </w:r>
      <w:r>
        <w:rPr>
          <w:rFonts w:ascii="Arial" w:cs="Arial" w:eastAsia="Arial" w:hAnsi="Arial"/>
          <w:b/>
          <w:bCs/>
          <w:color w:val="333333"/>
          <w:sz w:val="20"/>
          <w:szCs w:val="20"/>
        </w:rPr>
        <w:t xml:space="preserve">Item-level targeting</w:t>
      </w:r>
      <w:r>
        <w:rPr>
          <w:rFonts w:ascii="Arial" w:cs="Arial" w:eastAsia="Arial" w:hAnsi="Arial"/>
          <w:color w:val="333333"/>
          <w:sz w:val="20"/>
          <w:szCs w:val="20"/>
        </w:rPr>
        <w:t xml:space="preserve"> and click </w:t>
      </w:r>
      <w:r>
        <w:rPr>
          <w:rFonts w:ascii="Arial" w:cs="Arial" w:eastAsia="Arial" w:hAnsi="Arial"/>
          <w:b/>
          <w:bCs/>
          <w:color w:val="333333"/>
          <w:sz w:val="20"/>
          <w:szCs w:val="20"/>
        </w:rPr>
        <w:t xml:space="preserve">Targeting...</w:t>
      </w:r>
    </w:p>
    <w:p>
      <w:pPr>
        <w:pStyle w:val="ListParagraph"/>
        <w:numPr>
          <w:ilvl w:val="0"/>
          <w:numId w:val="2"/>
        </w:numPr>
        <w:spacing w:before="60" w:after="60"/>
      </w:pPr>
      <w:r>
        <w:rPr>
          <w:rFonts w:ascii="Arial" w:cs="Arial" w:eastAsia="Arial" w:hAnsi="Arial"/>
          <w:color w:val="333333"/>
          <w:sz w:val="20"/>
          <w:szCs w:val="20"/>
        </w:rPr>
        <w:t xml:space="preserve">Click </w:t>
      </w:r>
      <w:r>
        <w:rPr>
          <w:rFonts w:ascii="Arial" w:cs="Arial" w:eastAsia="Arial" w:hAnsi="Arial"/>
          <w:b/>
          <w:bCs/>
          <w:color w:val="333333"/>
          <w:sz w:val="20"/>
          <w:szCs w:val="20"/>
        </w:rPr>
        <w:t xml:space="preserve">New Item &gt; Registry Match</w:t>
      </w:r>
    </w:p>
    <w:p>
      <w:pPr>
        <w:pStyle w:val="ListParagraph"/>
        <w:numPr>
          <w:ilvl w:val="0"/>
          <w:numId w:val="2"/>
        </w:numPr>
        <w:spacing w:before="60" w:after="60"/>
      </w:pPr>
      <w:r>
        <w:rPr>
          <w:rFonts w:ascii="Arial" w:cs="Arial" w:eastAsia="Arial" w:hAnsi="Arial"/>
          <w:b/>
          <w:bCs/>
          <w:color w:val="333333"/>
          <w:sz w:val="20"/>
          <w:szCs w:val="20"/>
        </w:rPr>
        <w:t xml:space="preserve">Match type: </w:t>
      </w:r>
      <w:r>
        <w:rPr>
          <w:rFonts w:ascii="Arial" w:cs="Arial" w:eastAsia="Arial" w:hAnsi="Arial"/>
          <w:color w:val="333333"/>
          <w:sz w:val="20"/>
          <w:szCs w:val="20"/>
        </w:rPr>
        <w:t xml:space="preserve">Key exists</w:t>
      </w:r>
    </w:p>
    <w:p>
      <w:pPr>
        <w:pStyle w:val="ListParagraph"/>
        <w:numPr>
          <w:ilvl w:val="0"/>
          <w:numId w:val="2"/>
        </w:numPr>
        <w:spacing w:before="60" w:after="60"/>
      </w:pPr>
      <w:r>
        <w:rPr>
          <w:rFonts w:ascii="Arial" w:cs="Arial" w:eastAsia="Arial" w:hAnsi="Arial"/>
          <w:b/>
          <w:bCs/>
          <w:color w:val="333333"/>
          <w:sz w:val="20"/>
          <w:szCs w:val="20"/>
        </w:rPr>
        <w:t xml:space="preserve">Hive: </w:t>
      </w:r>
      <w:r>
        <w:rPr>
          <w:rFonts w:ascii="Arial" w:cs="Arial" w:eastAsia="Arial" w:hAnsi="Arial"/>
          <w:color w:val="333333"/>
          <w:sz w:val="20"/>
          <w:szCs w:val="20"/>
        </w:rPr>
        <w:t xml:space="preserve">HKEY_LOCAL_MACHINE</w:t>
      </w:r>
    </w:p>
    <w:p>
      <w:pPr>
        <w:pStyle w:val="ListParagraph"/>
        <w:numPr>
          <w:ilvl w:val="0"/>
          <w:numId w:val="2"/>
        </w:numPr>
        <w:spacing w:before="60" w:after="60"/>
      </w:pPr>
      <w:r>
        <w:rPr>
          <w:rFonts w:ascii="Arial" w:cs="Arial" w:eastAsia="Arial" w:hAnsi="Arial"/>
          <w:b/>
          <w:bCs/>
          <w:color w:val="333333"/>
          <w:sz w:val="20"/>
          <w:szCs w:val="20"/>
        </w:rPr>
        <w:t xml:space="preserve">Key Path: </w:t>
      </w:r>
      <w:r>
        <w:rPr>
          <w:rFonts w:ascii="Arial" w:cs="Arial" w:eastAsia="Arial" w:hAnsi="Arial"/>
          <w:color w:val="333333"/>
          <w:sz w:val="20"/>
          <w:szCs w:val="20"/>
        </w:rPr>
        <w:t xml:space="preserve">SOFTWARE\Digicert Inc.\DigiCert TLM Agent</w:t>
      </w:r>
    </w:p>
    <w:p>
      <w:pPr>
        <w:pStyle w:val="ListParagraph"/>
        <w:numPr>
          <w:ilvl w:val="0"/>
          <w:numId w:val="2"/>
        </w:numPr>
        <w:spacing w:before="60" w:after="60"/>
      </w:pPr>
      <w:r>
        <w:rPr>
          <w:rFonts w:ascii="Arial" w:cs="Arial" w:eastAsia="Arial" w:hAnsi="Arial"/>
          <w:color w:val="333333"/>
          <w:sz w:val="20"/>
          <w:szCs w:val="20"/>
        </w:rPr>
        <w:t xml:space="preserve">Under </w:t>
      </w:r>
      <w:r>
        <w:rPr>
          <w:rFonts w:ascii="Arial" w:cs="Arial" w:eastAsia="Arial" w:hAnsi="Arial"/>
          <w:b/>
          <w:bCs/>
          <w:color w:val="333333"/>
          <w:sz w:val="20"/>
          <w:szCs w:val="20"/>
        </w:rPr>
        <w:t xml:space="preserve">Item Options</w:t>
      </w:r>
      <w:r>
        <w:rPr>
          <w:rFonts w:ascii="Arial" w:cs="Arial" w:eastAsia="Arial" w:hAnsi="Arial"/>
          <w:color w:val="333333"/>
          <w:sz w:val="20"/>
          <w:szCs w:val="20"/>
        </w:rPr>
        <w:t xml:space="preserve">, set to </w:t>
      </w:r>
      <w:r>
        <w:rPr>
          <w:rFonts w:ascii="Arial" w:cs="Arial" w:eastAsia="Arial" w:hAnsi="Arial"/>
          <w:b/>
          <w:bCs/>
          <w:color w:val="333333"/>
          <w:sz w:val="20"/>
          <w:szCs w:val="20"/>
        </w:rPr>
        <w:t xml:space="preserve">Is NOT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8"/>
              <w:bottom w:val="single" w:color="F9A825" w:sz="1"/>
              <w:right w:val="single" w:color="F9A825" w:sz="1"/>
            </w:tcBorders>
            <w:shd w:fill="FFF8E1" w:val="clear"/>
            <w:tcMar>
              <w:top w:type="dxa" w:w="100"/>
              <w:left w:type="dxa" w:w="200"/>
              <w:bottom w:type="dxa" w:w="100"/>
              <w:right w:type="dxa" w:w="200"/>
            </w:tcMar>
          </w:tcPr>
          <w:p>
            <w:r>
              <w:rPr>
                <w:rFonts w:ascii="Arial" w:cs="Arial" w:eastAsia="Arial" w:hAnsi="Arial"/>
                <w:color w:val="333333"/>
                <w:sz w:val="20"/>
                <w:szCs w:val="20"/>
              </w:rPr>
              <w:t xml:space="preserve">⚠  Apply this registry targeting to both DC_API_KEY and TLM_BUSINESS_UNIT variables.</w:t>
            </w:r>
          </w:p>
        </w:tc>
      </w:tr>
    </w:tbl>
    <w:p>
      <w:r>
        <w:br w:type="page"/>
      </w:r>
    </w:p>
    <w:p>
      <w:pPr>
        <w:spacing w:before="360" w:after="200"/>
      </w:pPr>
      <w:r>
        <w:rPr>
          <w:rFonts w:ascii="Arial" w:cs="Arial" w:eastAsia="Arial" w:hAnsi="Arial"/>
          <w:b/>
          <w:bCs/>
          <w:color w:val="0055A4"/>
          <w:sz w:val="32"/>
          <w:szCs w:val="32"/>
        </w:rPr>
        <w:t xml:space="preserve">3. GPO 2 — TLM Agent Installation (Scheduled Task)</w:t>
      </w:r>
    </w:p>
    <w:p>
      <w:pPr>
        <w:spacing w:before="60" w:after="100"/>
      </w:pPr>
      <w:r>
        <w:rPr>
          <w:rFonts w:ascii="Arial" w:cs="Arial" w:eastAsia="Arial" w:hAnsi="Arial"/>
          <w:color w:val="333333"/>
          <w:sz w:val="20"/>
          <w:szCs w:val="20"/>
        </w:rPr>
        <w:t xml:space="preserve">Create a single scheduled task to execute the deployment script.</w:t>
      </w:r>
    </w:p>
    <w:p>
      <w:pPr>
        <w:spacing w:before="300" w:after="160"/>
      </w:pPr>
      <w:r>
        <w:rPr>
          <w:rFonts w:ascii="Arial" w:cs="Arial" w:eastAsia="Arial" w:hAnsi="Arial"/>
          <w:b/>
          <w:bCs/>
          <w:color w:val="333333"/>
          <w:sz w:val="26"/>
          <w:szCs w:val="26"/>
        </w:rPr>
        <w:t xml:space="preserve">Navigation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55A4" w:sz="6"/>
              <w:bottom w:val="single" w:color="CCCCCC" w:sz="1"/>
              <w:right w:val="single" w:color="CCCCCC" w:sz="1"/>
            </w:tcBorders>
            <w:shd w:fill="F5F5F5" w:val="clear"/>
            <w:tcMar>
              <w:top w:type="dxa" w:w="100"/>
              <w:left w:type="dxa" w:w="200"/>
              <w:bottom w:type="dxa" w:w="100"/>
              <w:right w:type="dxa" w:w="200"/>
            </w:tcMar>
          </w:tcPr>
          <w:p>
            <w:pPr>
              <w:spacing w:before="20" w:after="20"/>
            </w:pPr>
            <w:r>
              <w:rPr>
                <w:rFonts w:ascii="Consolas" w:cs="Consolas" w:eastAsia="Consolas" w:hAnsi="Consolas"/>
                <w:color w:val="333333"/>
                <w:sz w:val="18"/>
                <w:szCs w:val="18"/>
              </w:rPr>
              <w:t xml:space="preserve">Computer Configuration &gt; Preferences &gt; Control Panel Settings &gt; Scheduled Tasks</w:t>
            </w:r>
          </w:p>
        </w:tc>
      </w:tr>
    </w:tbl>
    <w:p>
      <w:pPr>
        <w:spacing w:before="80" w:after="80"/>
      </w:pPr>
    </w:p>
    <w:p>
      <w:pPr>
        <w:spacing w:before="300" w:after="160"/>
      </w:pPr>
      <w:r>
        <w:rPr>
          <w:rFonts w:ascii="Arial" w:cs="Arial" w:eastAsia="Arial" w:hAnsi="Arial"/>
          <w:b/>
          <w:bCs/>
          <w:color w:val="333333"/>
          <w:sz w:val="26"/>
          <w:szCs w:val="26"/>
        </w:rPr>
        <w:t xml:space="preserve">Tab: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Action</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Create</w:t>
            </w:r>
          </w:p>
        </w:tc>
      </w:tr>
      <w:tr>
        <w:tc>
          <w:tcPr>
            <w:tcW w:type="dxa" w:w="3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63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Any descriptive name (e.g. TLM Agent Install)</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Security Options — User</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Service account with share access and local admin rights</w:t>
            </w:r>
          </w:p>
        </w:tc>
      </w:tr>
      <w:tr>
        <w:tc>
          <w:tcPr>
            <w:tcW w:type="dxa" w:w="3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Run option</w:t>
            </w:r>
          </w:p>
        </w:tc>
        <w:tc>
          <w:tcPr>
            <w:tcW w:type="dxa" w:w="63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Run whether user is logged on or not (recommended) or Run only when user is logged on</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Run with highest privileges</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Enabled (ticked)</w:t>
            </w:r>
          </w:p>
        </w:tc>
      </w:tr>
      <w:tr>
        <w:tc>
          <w:tcPr>
            <w:tcW w:type="dxa" w:w="3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Configure for</w:t>
            </w:r>
          </w:p>
        </w:tc>
        <w:tc>
          <w:tcPr>
            <w:tcW w:type="dxa" w:w="63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Windows 7, Windows Server 2008 R2</w:t>
            </w:r>
          </w:p>
        </w:tc>
      </w:tr>
    </w:tbl>
    <w:p>
      <w:pPr>
        <w:spacing w:before="80" w:after="80"/>
      </w:pPr>
    </w:p>
    <w:p>
      <w:pPr>
        <w:spacing w:before="300" w:after="160"/>
      </w:pPr>
      <w:r>
        <w:rPr>
          <w:rFonts w:ascii="Arial" w:cs="Arial" w:eastAsia="Arial" w:hAnsi="Arial"/>
          <w:b/>
          <w:bCs/>
          <w:color w:val="333333"/>
          <w:sz w:val="26"/>
          <w:szCs w:val="26"/>
        </w:rPr>
        <w:t xml:space="preserve">Tab: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Begin the task</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At log on  or  At startup</w:t>
            </w:r>
          </w:p>
        </w:tc>
      </w:tr>
      <w:tr>
        <w:tc>
          <w:tcPr>
            <w:tcW w:type="dxa" w:w="3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Delay task for</w:t>
            </w:r>
          </w:p>
        </w:tc>
        <w:tc>
          <w:tcPr>
            <w:tcW w:type="dxa" w:w="63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1 minute (allows network to become available)</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Repeat task every</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5 minutes, for a duration of 1 day</w:t>
            </w:r>
          </w:p>
        </w:tc>
      </w:tr>
      <w:tr>
        <w:tc>
          <w:tcPr>
            <w:tcW w:type="dxa" w:w="3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Enabled</w:t>
            </w:r>
          </w:p>
        </w:tc>
        <w:tc>
          <w:tcPr>
            <w:tcW w:type="dxa" w:w="63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Ticked</w:t>
            </w:r>
          </w:p>
        </w:tc>
      </w:tr>
    </w:tbl>
    <w:p>
      <w:pPr>
        <w:spacing w:before="80" w:after="80"/>
      </w:pPr>
    </w:p>
    <w:p>
      <w:pPr>
        <w:spacing w:before="300" w:after="160"/>
      </w:pPr>
      <w:r>
        <w:rPr>
          <w:rFonts w:ascii="Arial" w:cs="Arial" w:eastAsia="Arial" w:hAnsi="Arial"/>
          <w:b/>
          <w:bCs/>
          <w:color w:val="333333"/>
          <w:sz w:val="26"/>
          <w:szCs w:val="26"/>
        </w:rPr>
        <w:t xml:space="preserve">Tab: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Action</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Start a program</w:t>
            </w:r>
          </w:p>
        </w:tc>
      </w:tr>
      <w:tr>
        <w:tc>
          <w:tcPr>
            <w:tcW w:type="dxa" w:w="3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Program/script</w:t>
            </w:r>
          </w:p>
        </w:tc>
        <w:tc>
          <w:tcPr>
            <w:tcW w:type="dxa" w:w="63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powershell.exe</w:t>
            </w:r>
          </w:p>
        </w:tc>
      </w:tr>
      <w:tr>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Add arguments</w:t>
            </w:r>
          </w:p>
        </w:tc>
        <w:tc>
          <w:tcPr>
            <w:tcW w:type="dxa" w:w="6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See command below</w:t>
            </w:r>
          </w:p>
        </w:tc>
      </w:tr>
    </w:tbl>
    <w:p>
      <w:pPr>
        <w:spacing w:before="80" w:after="80"/>
      </w:pPr>
    </w:p>
    <w:p>
      <w:pPr>
        <w:spacing w:before="240" w:after="120"/>
      </w:pPr>
      <w:r>
        <w:rPr>
          <w:rFonts w:ascii="Arial" w:cs="Arial" w:eastAsia="Arial" w:hAnsi="Arial"/>
          <w:b/>
          <w:bCs/>
          <w:color w:val="666666"/>
          <w:sz w:val="22"/>
          <w:szCs w:val="22"/>
        </w:rPr>
        <w:t xml:space="preserve">Arguments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55A4" w:sz="6"/>
              <w:bottom w:val="single" w:color="CCCCCC" w:sz="1"/>
              <w:right w:val="single" w:color="CCCCCC" w:sz="1"/>
            </w:tcBorders>
            <w:shd w:fill="F5F5F5" w:val="clear"/>
            <w:tcMar>
              <w:top w:type="dxa" w:w="100"/>
              <w:left w:type="dxa" w:w="200"/>
              <w:bottom w:type="dxa" w:w="100"/>
              <w:right w:type="dxa" w:w="200"/>
            </w:tcMar>
          </w:tcPr>
          <w:p>
            <w:pPr>
              <w:spacing w:before="20" w:after="20"/>
            </w:pPr>
            <w:r>
              <w:rPr>
                <w:rFonts w:ascii="Consolas" w:cs="Consolas" w:eastAsia="Consolas" w:hAnsi="Consolas"/>
                <w:color w:val="333333"/>
                <w:sz w:val="18"/>
                <w:szCs w:val="18"/>
              </w:rPr>
              <w:t xml:space="preserve">-ExecutionPolicy Bypass -NoProfile -File</w:t>
            </w:r>
          </w:p>
          <w:p>
            <w:pPr>
              <w:spacing w:before="20" w:after="20"/>
            </w:pPr>
            <w:r>
              <w:rPr>
                <w:rFonts w:ascii="Consolas" w:cs="Consolas" w:eastAsia="Consolas" w:hAnsi="Consolas"/>
                <w:color w:val="333333"/>
                <w:sz w:val="18"/>
                <w:szCs w:val="18"/>
              </w:rPr>
              <w:t xml:space="preserve">"\\FileServer\TLMAgentDeploy\files\Deploy-TLMAgent.ps1"</w:t>
            </w:r>
          </w:p>
          <w:p>
            <w:pPr>
              <w:spacing w:before="20" w:after="20"/>
            </w:pPr>
            <w:r>
              <w:rPr>
                <w:rFonts w:ascii="Consolas" w:cs="Consolas" w:eastAsia="Consolas" w:hAnsi="Consolas"/>
                <w:color w:val="333333"/>
                <w:sz w:val="18"/>
                <w:szCs w:val="18"/>
              </w:rPr>
              <w:t xml:space="preserve">-Action InstallAndActivate</w:t>
            </w:r>
          </w:p>
          <w:p>
            <w:pPr>
              <w:spacing w:before="20" w:after="20"/>
            </w:pPr>
            <w:r>
              <w:rPr>
                <w:rFonts w:ascii="Consolas" w:cs="Consolas" w:eastAsia="Consolas" w:hAnsi="Consolas"/>
                <w:color w:val="333333"/>
                <w:sz w:val="18"/>
                <w:szCs w:val="18"/>
              </w:rPr>
              <w:t xml:space="preserve">-InstallerPath "\\FileServer\TLMAgentDeploy\files\DigiCert TLM Agent.exe"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8"/>
              <w:bottom w:val="single" w:color="F9A825" w:sz="1"/>
              <w:right w:val="single" w:color="F9A825" w:sz="1"/>
            </w:tcBorders>
            <w:shd w:fill="FFF8E1" w:val="clear"/>
            <w:tcMar>
              <w:top w:type="dxa" w:w="100"/>
              <w:left w:type="dxa" w:w="200"/>
              <w:bottom w:type="dxa" w:w="100"/>
              <w:right w:type="dxa" w:w="200"/>
            </w:tcMar>
          </w:tcPr>
          <w:p>
            <w:r>
              <w:rPr>
                <w:rFonts w:ascii="Arial" w:cs="Arial" w:eastAsia="Arial" w:hAnsi="Arial"/>
                <w:color w:val="333333"/>
                <w:sz w:val="20"/>
                <w:szCs w:val="20"/>
              </w:rPr>
              <w:t xml:space="preserve">⚠  The arguments field has a 255-character limit. Content beyond this is silently truncated.</w:t>
            </w:r>
          </w:p>
          <w:p>
            <w:r>
              <w:rPr>
                <w:rFonts w:ascii="Arial" w:cs="Arial" w:eastAsia="Arial" w:hAnsi="Arial"/>
                <w:color w:val="333333"/>
                <w:sz w:val="20"/>
                <w:szCs w:val="20"/>
              </w:rPr>
              <w:t xml:space="preserve">Keep share paths as short as possible. Do not include the -LogFile parameter here;</w:t>
            </w:r>
          </w:p>
          <w:p>
            <w:r>
              <w:rPr>
                <w:rFonts w:ascii="Arial" w:cs="Arial" w:eastAsia="Arial" w:hAnsi="Arial"/>
                <w:color w:val="333333"/>
                <w:sz w:val="20"/>
                <w:szCs w:val="20"/>
              </w:rPr>
              <w:t xml:space="preserve">the script handles logging internally using $env:COMPUTERNAME in the filename.</w:t>
            </w:r>
          </w:p>
        </w:tc>
      </w:tr>
    </w:tbl>
    <w:p>
      <w:pPr>
        <w:spacing w:before="80" w:after="80"/>
      </w:pPr>
    </w:p>
    <w:p>
      <w:pPr>
        <w:spacing w:before="300" w:after="160"/>
      </w:pPr>
      <w:r>
        <w:rPr>
          <w:rFonts w:ascii="Arial" w:cs="Arial" w:eastAsia="Arial" w:hAnsi="Arial"/>
          <w:b/>
          <w:bCs/>
          <w:color w:val="333333"/>
          <w:sz w:val="26"/>
          <w:szCs w:val="26"/>
        </w:rPr>
        <w:t xml:space="preserve">Tab: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436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Start only if the following network connection is available</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Any connection</w:t>
            </w:r>
          </w:p>
        </w:tc>
      </w:tr>
    </w:tbl>
    <w:p>
      <w:pPr>
        <w:spacing w:before="80" w:after="80"/>
      </w:pPr>
    </w:p>
    <w:p>
      <w:pPr>
        <w:spacing w:before="300" w:after="160"/>
      </w:pPr>
      <w:r>
        <w:rPr>
          <w:rFonts w:ascii="Arial" w:cs="Arial" w:eastAsia="Arial" w:hAnsi="Arial"/>
          <w:b/>
          <w:bCs/>
          <w:color w:val="333333"/>
          <w:sz w:val="26"/>
          <w:szCs w:val="26"/>
        </w:rPr>
        <w:t xml:space="preserve">Tab: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436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Allow task to be run on demand</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Enabled</w:t>
            </w:r>
          </w:p>
        </w:tc>
      </w:tr>
      <w:tr>
        <w:tc>
          <w:tcPr>
            <w:tcW w:type="dxa" w:w="5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Run task as soon as possible after a scheduled start is missed</w:t>
            </w:r>
          </w:p>
        </w:tc>
        <w:tc>
          <w:tcPr>
            <w:tcW w:type="dxa" w:w="43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Enabled</w:t>
            </w:r>
          </w:p>
        </w:tc>
      </w:tr>
      <w:tr>
        <w:tc>
          <w:tcPr>
            <w:tcW w:type="dxa" w:w="5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If the task fails, restart every</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10 minutes</w:t>
            </w:r>
          </w:p>
        </w:tc>
      </w:tr>
      <w:tr>
        <w:tc>
          <w:tcPr>
            <w:tcW w:type="dxa" w:w="50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Attempt to restart up to</w:t>
            </w:r>
          </w:p>
        </w:tc>
        <w:tc>
          <w:tcPr>
            <w:tcW w:type="dxa" w:w="43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5 times</w:t>
            </w:r>
          </w:p>
        </w:tc>
      </w:tr>
      <w:tr>
        <w:tc>
          <w:tcPr>
            <w:tcW w:type="dxa" w:w="5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If the task is already running</w:t>
            </w:r>
          </w:p>
        </w:tc>
        <w:tc>
          <w:tcPr>
            <w:tcW w:type="dxa" w:w="4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Do not start a new instance</w:t>
            </w:r>
          </w:p>
        </w:tc>
      </w:tr>
    </w:tbl>
    <w:p>
      <w:pPr>
        <w:spacing w:before="80" w:after="80"/>
      </w:pPr>
    </w:p>
    <w:p>
      <w:pPr>
        <w:spacing w:before="300" w:after="160"/>
      </w:pPr>
      <w:r>
        <w:rPr>
          <w:rFonts w:ascii="Arial" w:cs="Arial" w:eastAsia="Arial" w:hAnsi="Arial"/>
          <w:b/>
          <w:bCs/>
          <w:color w:val="333333"/>
          <w:sz w:val="26"/>
          <w:szCs w:val="26"/>
        </w:rPr>
        <w:t xml:space="preserve">Tab: Common — Item-Level Targeting</w:t>
      </w:r>
    </w:p>
    <w:p>
      <w:pPr>
        <w:spacing w:before="60" w:after="100"/>
      </w:pPr>
      <w:r>
        <w:rPr>
          <w:rFonts w:ascii="Arial" w:cs="Arial" w:eastAsia="Arial" w:hAnsi="Arial"/>
          <w:color w:val="333333"/>
          <w:sz w:val="20"/>
          <w:szCs w:val="20"/>
        </w:rPr>
        <w:t xml:space="preserve">This prevents the task from re-running on machines where the agent is already installed.</w:t>
      </w:r>
    </w:p>
    <w:p>
      <w:pPr>
        <w:pStyle w:val="ListParagraph"/>
        <w:numPr>
          <w:ilvl w:val="0"/>
          <w:numId w:val="2"/>
        </w:numPr>
        <w:spacing w:before="60" w:after="60"/>
      </w:pPr>
      <w:r>
        <w:rPr>
          <w:rFonts w:ascii="Arial" w:cs="Arial" w:eastAsia="Arial" w:hAnsi="Arial"/>
          <w:color w:val="333333"/>
          <w:sz w:val="20"/>
          <w:szCs w:val="20"/>
        </w:rPr>
        <w:t xml:space="preserve">Enable </w:t>
      </w:r>
      <w:r>
        <w:rPr>
          <w:rFonts w:ascii="Arial" w:cs="Arial" w:eastAsia="Arial" w:hAnsi="Arial"/>
          <w:b/>
          <w:bCs/>
          <w:color w:val="333333"/>
          <w:sz w:val="20"/>
          <w:szCs w:val="20"/>
        </w:rPr>
        <w:t xml:space="preserve">Item-level targeting</w:t>
      </w:r>
      <w:r>
        <w:rPr>
          <w:rFonts w:ascii="Arial" w:cs="Arial" w:eastAsia="Arial" w:hAnsi="Arial"/>
          <w:color w:val="333333"/>
          <w:sz w:val="20"/>
          <w:szCs w:val="20"/>
        </w:rPr>
        <w:t xml:space="preserve"> and click </w:t>
      </w:r>
      <w:r>
        <w:rPr>
          <w:rFonts w:ascii="Arial" w:cs="Arial" w:eastAsia="Arial" w:hAnsi="Arial"/>
          <w:b/>
          <w:bCs/>
          <w:color w:val="333333"/>
          <w:sz w:val="20"/>
          <w:szCs w:val="20"/>
        </w:rPr>
        <w:t xml:space="preserve">Targeting...</w:t>
      </w:r>
    </w:p>
    <w:p>
      <w:pPr>
        <w:pStyle w:val="ListParagraph"/>
        <w:numPr>
          <w:ilvl w:val="0"/>
          <w:numId w:val="2"/>
        </w:numPr>
        <w:spacing w:before="60" w:after="60"/>
      </w:pPr>
      <w:r>
        <w:rPr>
          <w:rFonts w:ascii="Arial" w:cs="Arial" w:eastAsia="Arial" w:hAnsi="Arial"/>
          <w:color w:val="333333"/>
          <w:sz w:val="20"/>
          <w:szCs w:val="20"/>
        </w:rPr>
        <w:t xml:space="preserve">Click </w:t>
      </w:r>
      <w:r>
        <w:rPr>
          <w:rFonts w:ascii="Arial" w:cs="Arial" w:eastAsia="Arial" w:hAnsi="Arial"/>
          <w:b/>
          <w:bCs/>
          <w:color w:val="333333"/>
          <w:sz w:val="20"/>
          <w:szCs w:val="20"/>
        </w:rPr>
        <w:t xml:space="preserve">New Item &gt; Registry Match</w:t>
      </w:r>
    </w:p>
    <w:p>
      <w:pPr>
        <w:pStyle w:val="ListParagraph"/>
        <w:numPr>
          <w:ilvl w:val="0"/>
          <w:numId w:val="2"/>
        </w:numPr>
        <w:spacing w:before="60" w:after="60"/>
      </w:pPr>
      <w:r>
        <w:rPr>
          <w:rFonts w:ascii="Arial" w:cs="Arial" w:eastAsia="Arial" w:hAnsi="Arial"/>
          <w:b/>
          <w:bCs/>
          <w:color w:val="333333"/>
          <w:sz w:val="20"/>
          <w:szCs w:val="20"/>
        </w:rPr>
        <w:t xml:space="preserve">Match type: </w:t>
      </w:r>
      <w:r>
        <w:rPr>
          <w:rFonts w:ascii="Arial" w:cs="Arial" w:eastAsia="Arial" w:hAnsi="Arial"/>
          <w:color w:val="333333"/>
          <w:sz w:val="20"/>
          <w:szCs w:val="20"/>
        </w:rPr>
        <w:t xml:space="preserve">Key exists</w:t>
      </w:r>
    </w:p>
    <w:p>
      <w:pPr>
        <w:pStyle w:val="ListParagraph"/>
        <w:numPr>
          <w:ilvl w:val="0"/>
          <w:numId w:val="2"/>
        </w:numPr>
        <w:spacing w:before="60" w:after="60"/>
      </w:pPr>
      <w:r>
        <w:rPr>
          <w:rFonts w:ascii="Arial" w:cs="Arial" w:eastAsia="Arial" w:hAnsi="Arial"/>
          <w:b/>
          <w:bCs/>
          <w:color w:val="333333"/>
          <w:sz w:val="20"/>
          <w:szCs w:val="20"/>
        </w:rPr>
        <w:t xml:space="preserve">Hive: </w:t>
      </w:r>
      <w:r>
        <w:rPr>
          <w:rFonts w:ascii="Arial" w:cs="Arial" w:eastAsia="Arial" w:hAnsi="Arial"/>
          <w:color w:val="333333"/>
          <w:sz w:val="20"/>
          <w:szCs w:val="20"/>
        </w:rPr>
        <w:t xml:space="preserve">HKEY_LOCAL_MACHINE</w:t>
      </w:r>
    </w:p>
    <w:p>
      <w:pPr>
        <w:pStyle w:val="ListParagraph"/>
        <w:numPr>
          <w:ilvl w:val="0"/>
          <w:numId w:val="2"/>
        </w:numPr>
        <w:spacing w:before="60" w:after="60"/>
      </w:pPr>
      <w:r>
        <w:rPr>
          <w:rFonts w:ascii="Arial" w:cs="Arial" w:eastAsia="Arial" w:hAnsi="Arial"/>
          <w:b/>
          <w:bCs/>
          <w:color w:val="333333"/>
          <w:sz w:val="20"/>
          <w:szCs w:val="20"/>
        </w:rPr>
        <w:t xml:space="preserve">Key Path: </w:t>
      </w:r>
      <w:r>
        <w:rPr>
          <w:rFonts w:ascii="Arial" w:cs="Arial" w:eastAsia="Arial" w:hAnsi="Arial"/>
          <w:color w:val="333333"/>
          <w:sz w:val="20"/>
          <w:szCs w:val="20"/>
        </w:rPr>
        <w:t xml:space="preserve">SOFTWARE\Digicert Inc.\DigiCert TLM Agent</w:t>
      </w:r>
    </w:p>
    <w:p>
      <w:pPr>
        <w:pStyle w:val="ListParagraph"/>
        <w:numPr>
          <w:ilvl w:val="0"/>
          <w:numId w:val="2"/>
        </w:numPr>
        <w:spacing w:before="60" w:after="60"/>
      </w:pPr>
      <w:r>
        <w:rPr>
          <w:rFonts w:ascii="Arial" w:cs="Arial" w:eastAsia="Arial" w:hAnsi="Arial"/>
          <w:color w:val="333333"/>
          <w:sz w:val="20"/>
          <w:szCs w:val="20"/>
        </w:rPr>
        <w:t xml:space="preserve">Under </w:t>
      </w:r>
      <w:r>
        <w:rPr>
          <w:rFonts w:ascii="Arial" w:cs="Arial" w:eastAsia="Arial" w:hAnsi="Arial"/>
          <w:b/>
          <w:bCs/>
          <w:color w:val="333333"/>
          <w:sz w:val="20"/>
          <w:szCs w:val="20"/>
        </w:rPr>
        <w:t xml:space="preserve">Item Options</w:t>
      </w:r>
      <w:r>
        <w:rPr>
          <w:rFonts w:ascii="Arial" w:cs="Arial" w:eastAsia="Arial" w:hAnsi="Arial"/>
          <w:color w:val="333333"/>
          <w:sz w:val="20"/>
          <w:szCs w:val="20"/>
        </w:rPr>
        <w:t xml:space="preserve">, set to </w:t>
      </w:r>
      <w:r>
        <w:rPr>
          <w:rFonts w:ascii="Arial" w:cs="Arial" w:eastAsia="Arial" w:hAnsi="Arial"/>
          <w:b/>
          <w:bCs/>
          <w:color w:val="333333"/>
          <w:sz w:val="20"/>
          <w:szCs w:val="20"/>
        </w:rPr>
        <w:t xml:space="preserve">Is NOT</w:t>
      </w:r>
      <w:r>
        <w:rPr>
          <w:rFonts w:ascii="Arial" w:cs="Arial" w:eastAsia="Arial" w:hAnsi="Arial"/>
          <w:color w:val="333333"/>
          <w:sz w:val="20"/>
          <w:szCs w:val="20"/>
        </w:rPr>
        <w:t xml:space="preserve"> (so the task only runs when the key does NOT exist)</w:t>
      </w:r>
    </w:p>
    <w:p>
      <w:r>
        <w:br w:type="page"/>
      </w:r>
    </w:p>
    <w:p>
      <w:pPr>
        <w:spacing w:before="360" w:after="200"/>
      </w:pPr>
      <w:r>
        <w:rPr>
          <w:rFonts w:ascii="Arial" w:cs="Arial" w:eastAsia="Arial" w:hAnsi="Arial"/>
          <w:b/>
          <w:bCs/>
          <w:color w:val="0055A4"/>
          <w:sz w:val="32"/>
          <w:szCs w:val="32"/>
        </w:rPr>
        <w:t xml:space="preserve">4. Testing the Deployment</w:t>
      </w:r>
    </w:p>
    <w:p>
      <w:pPr>
        <w:spacing w:before="300" w:after="160"/>
      </w:pPr>
      <w:r>
        <w:rPr>
          <w:rFonts w:ascii="Arial" w:cs="Arial" w:eastAsia="Arial" w:hAnsi="Arial"/>
          <w:b/>
          <w:bCs/>
          <w:color w:val="333333"/>
          <w:sz w:val="26"/>
          <w:szCs w:val="26"/>
        </w:rPr>
        <w:t xml:space="preserve">Step 1: Link GPOs to OU</w:t>
      </w:r>
    </w:p>
    <w:p>
      <w:pPr>
        <w:spacing w:before="60" w:after="100"/>
      </w:pPr>
      <w:r>
        <w:rPr>
          <w:rFonts w:ascii="Arial" w:cs="Arial" w:eastAsia="Arial" w:hAnsi="Arial"/>
          <w:color w:val="333333"/>
          <w:sz w:val="20"/>
          <w:szCs w:val="20"/>
        </w:rPr>
        <w:t xml:space="preserve">Ensure both GPOs are linked and enabled on the target Organisational Unit.</w:t>
      </w:r>
    </w:p>
    <w:p>
      <w:pPr>
        <w:spacing w:before="300" w:after="160"/>
      </w:pPr>
      <w:r>
        <w:rPr>
          <w:rFonts w:ascii="Arial" w:cs="Arial" w:eastAsia="Arial" w:hAnsi="Arial"/>
          <w:b/>
          <w:bCs/>
          <w:color w:val="333333"/>
          <w:sz w:val="26"/>
          <w:szCs w:val="26"/>
        </w:rPr>
        <w:t xml:space="preserve">Step 2: Force Group Policy Update</w:t>
      </w:r>
    </w:p>
    <w:p>
      <w:pPr>
        <w:spacing w:before="60" w:after="100"/>
      </w:pPr>
      <w:r>
        <w:rPr>
          <w:rFonts w:ascii="Arial" w:cs="Arial" w:eastAsia="Arial" w:hAnsi="Arial"/>
          <w:color w:val="333333"/>
          <w:sz w:val="20"/>
          <w:szCs w:val="20"/>
        </w:rPr>
        <w:t xml:space="preserve">On the target machine, run the following in an elevated command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55A4" w:sz="6"/>
              <w:bottom w:val="single" w:color="CCCCCC" w:sz="1"/>
              <w:right w:val="single" w:color="CCCCCC" w:sz="1"/>
            </w:tcBorders>
            <w:shd w:fill="F5F5F5" w:val="clear"/>
            <w:tcMar>
              <w:top w:type="dxa" w:w="100"/>
              <w:left w:type="dxa" w:w="200"/>
              <w:bottom w:type="dxa" w:w="100"/>
              <w:right w:type="dxa" w:w="200"/>
            </w:tcMar>
          </w:tcPr>
          <w:p>
            <w:pPr>
              <w:spacing w:before="20" w:after="20"/>
            </w:pPr>
            <w:r>
              <w:rPr>
                <w:rFonts w:ascii="Consolas" w:cs="Consolas" w:eastAsia="Consolas" w:hAnsi="Consolas"/>
                <w:color w:val="333333"/>
                <w:sz w:val="18"/>
                <w:szCs w:val="18"/>
              </w:rPr>
              <w:t xml:space="preserve">gpupdate /force</w:t>
            </w:r>
          </w:p>
        </w:tc>
      </w:tr>
    </w:tbl>
    <w:p>
      <w:pPr>
        <w:spacing w:before="80" w:after="80"/>
      </w:pPr>
    </w:p>
    <w:p>
      <w:pPr>
        <w:spacing w:before="300" w:after="160"/>
      </w:pPr>
      <w:r>
        <w:rPr>
          <w:rFonts w:ascii="Arial" w:cs="Arial" w:eastAsia="Arial" w:hAnsi="Arial"/>
          <w:b/>
          <w:bCs/>
          <w:color w:val="333333"/>
          <w:sz w:val="26"/>
          <w:szCs w:val="26"/>
        </w:rPr>
        <w:t xml:space="preserve">Step 3: Verify Environment Variables</w:t>
      </w:r>
    </w:p>
    <w:p>
      <w:pPr>
        <w:spacing w:before="60" w:after="100"/>
      </w:pPr>
      <w:r>
        <w:rPr>
          <w:rFonts w:ascii="Arial" w:cs="Arial" w:eastAsia="Arial" w:hAnsi="Arial"/>
          <w:color w:val="333333"/>
          <w:sz w:val="20"/>
          <w:szCs w:val="20"/>
        </w:rPr>
        <w:t xml:space="preserve">Open System Properties &gt; Advanced &gt; Environment Variables and confirm DC_API_KEY and TLM_BUSINESS_UNIT are present under System Variables.</w:t>
      </w:r>
    </w:p>
    <w:p>
      <w:pPr>
        <w:spacing w:before="300" w:after="160"/>
      </w:pPr>
      <w:r>
        <w:rPr>
          <w:rFonts w:ascii="Arial" w:cs="Arial" w:eastAsia="Arial" w:hAnsi="Arial"/>
          <w:b/>
          <w:bCs/>
          <w:color w:val="333333"/>
          <w:sz w:val="26"/>
          <w:szCs w:val="26"/>
        </w:rPr>
        <w:t xml:space="preserve">Step 4: Verify Scheduled Task</w:t>
      </w:r>
    </w:p>
    <w:p>
      <w:pPr>
        <w:spacing w:before="60" w:after="100"/>
      </w:pPr>
      <w:r>
        <w:rPr>
          <w:rFonts w:ascii="Arial" w:cs="Arial" w:eastAsia="Arial" w:hAnsi="Arial"/>
          <w:color w:val="333333"/>
          <w:sz w:val="20"/>
          <w:szCs w:val="20"/>
        </w:rPr>
        <w:t xml:space="preserve">Open Task Scheduler and confirm the TLM Agent Install task is visible with a status of Ready.</w:t>
      </w:r>
    </w:p>
    <w:p>
      <w:pPr>
        <w:spacing w:before="300" w:after="160"/>
      </w:pPr>
      <w:r>
        <w:rPr>
          <w:rFonts w:ascii="Arial" w:cs="Arial" w:eastAsia="Arial" w:hAnsi="Arial"/>
          <w:b/>
          <w:bCs/>
          <w:color w:val="333333"/>
          <w:sz w:val="26"/>
          <w:szCs w:val="26"/>
        </w:rPr>
        <w:t xml:space="preserve">Step 5: Trigger the Task</w:t>
      </w:r>
    </w:p>
    <w:p>
      <w:pPr>
        <w:spacing w:before="60" w:after="100"/>
      </w:pPr>
      <w:r>
        <w:rPr>
          <w:rFonts w:ascii="Arial" w:cs="Arial" w:eastAsia="Arial" w:hAnsi="Arial"/>
          <w:color w:val="333333"/>
          <w:sz w:val="20"/>
          <w:szCs w:val="20"/>
        </w:rPr>
        <w:t xml:space="preserve">Depending on the trigger configuration, either reboot/log off and log on, or right-click the task and select Run. Allow time for any configured delays.</w:t>
      </w:r>
    </w:p>
    <w:p>
      <w:pPr>
        <w:spacing w:before="300" w:after="160"/>
      </w:pPr>
      <w:r>
        <w:rPr>
          <w:rFonts w:ascii="Arial" w:cs="Arial" w:eastAsia="Arial" w:hAnsi="Arial"/>
          <w:b/>
          <w:bCs/>
          <w:color w:val="333333"/>
          <w:sz w:val="26"/>
          <w:szCs w:val="26"/>
        </w:rPr>
        <w:t xml:space="preserve">Step 6: Confirm Agent Registration</w:t>
      </w:r>
    </w:p>
    <w:p>
      <w:pPr>
        <w:spacing w:before="60" w:after="100"/>
      </w:pPr>
      <w:r>
        <w:rPr>
          <w:rFonts w:ascii="Arial" w:cs="Arial" w:eastAsia="Arial" w:hAnsi="Arial"/>
          <w:color w:val="333333"/>
          <w:sz w:val="20"/>
          <w:szCs w:val="20"/>
        </w:rPr>
        <w:t xml:space="preserve">Log in to DigiCert ONE and verify the agent appears in the Agents list with the expected hostname.</w:t>
      </w:r>
    </w:p>
    <w:p>
      <w:pPr>
        <w:spacing w:before="80" w:after="80"/>
      </w:pPr>
    </w:p>
    <w:p>
      <w:pPr>
        <w:spacing w:before="360" w:after="200"/>
      </w:pPr>
      <w:r>
        <w:rPr>
          <w:rFonts w:ascii="Arial" w:cs="Arial" w:eastAsia="Arial" w:hAnsi="Arial"/>
          <w:b/>
          <w:bCs/>
          <w:color w:val="0055A4"/>
          <w:sz w:val="32"/>
          <w:szCs w:val="32"/>
        </w:rPr>
        <w:t xml:space="preserve">5. PowerShell Script Reference</w:t>
      </w:r>
    </w:p>
    <w:p>
      <w:pPr>
        <w:spacing w:before="60" w:after="100"/>
      </w:pPr>
      <w:r>
        <w:rPr>
          <w:rFonts w:ascii="Arial" w:cs="Arial" w:eastAsia="Arial" w:hAnsi="Arial"/>
          <w:color w:val="333333"/>
          <w:sz w:val="20"/>
          <w:szCs w:val="20"/>
        </w:rPr>
        <w:t xml:space="preserve">The Deploy-TLMAgent.ps1 script supports the following parameters.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20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B0C4DE" w:sz="1"/>
              <w:left w:val="single" w:color="B0C4DE" w:sz="1"/>
              <w:bottom w:val="single" w:color="B0C4DE" w:sz="1"/>
              <w:right w:val="single" w:color="B0C4DE" w:sz="1"/>
            </w:tcBorders>
            <w:shd w:fill="0055A4"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-Action</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Install, Activate, InstallAndActivate, Upgrade, Uninstall, UninstallPreserveData</w:t>
            </w:r>
          </w:p>
        </w:tc>
        <w:tc>
          <w:tcPr>
            <w:tcW w:type="dxa" w:w="2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InstallAndActivate</w:t>
            </w:r>
          </w:p>
        </w:tc>
      </w:tr>
      <w:tr>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-InstallerPath</w:t>
            </w:r>
          </w:p>
        </w:tc>
        <w:tc>
          <w:tcPr>
            <w:tcW w:type="dxa" w:w="4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Path to the TLM Agent .exe installer</w:t>
            </w:r>
          </w:p>
        </w:tc>
        <w:tc>
          <w:tcPr>
            <w:tcW w:type="dxa" w:w="29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Script directory</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-InstallDir</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Custom installation directory</w:t>
            </w:r>
          </w:p>
        </w:tc>
        <w:tc>
          <w:tcPr>
            <w:tcW w:type="dxa" w:w="2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Program Files default</w:t>
            </w:r>
          </w:p>
        </w:tc>
      </w:tr>
      <w:tr>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-ApiKey</w:t>
            </w:r>
          </w:p>
        </w:tc>
        <w:tc>
          <w:tcPr>
            <w:tcW w:type="dxa" w:w="4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API key for activation (or use DC_API_KEY env var)</w:t>
            </w:r>
          </w:p>
        </w:tc>
        <w:tc>
          <w:tcPr>
            <w:tcW w:type="dxa" w:w="29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From env var</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-BusinessUnitId</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Business Unit ID (or use TLM_BUSINESS_UNIT env var)</w:t>
            </w:r>
          </w:p>
        </w:tc>
        <w:tc>
          <w:tcPr>
            <w:tcW w:type="dxa" w:w="2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From env var</w:t>
            </w:r>
          </w:p>
        </w:tc>
      </w:tr>
      <w:tr>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-AgentName</w:t>
            </w:r>
          </w:p>
        </w:tc>
        <w:tc>
          <w:tcPr>
            <w:tcW w:type="dxa" w:w="4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Custom agent name</w:t>
            </w:r>
          </w:p>
        </w:tc>
        <w:tc>
          <w:tcPr>
            <w:tcW w:type="dxa" w:w="29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$env:COMPUTERNAME</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-Proxy</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Proxy server URL</w:t>
            </w:r>
          </w:p>
        </w:tc>
        <w:tc>
          <w:tcPr>
            <w:tcW w:type="dxa" w:w="2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-DcOneHost</w:t>
            </w:r>
          </w:p>
        </w:tc>
        <w:tc>
          <w:tcPr>
            <w:tcW w:type="dxa" w:w="4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DigiCert ONE host (or use DCONE_HOST env var)</w:t>
            </w:r>
          </w:p>
        </w:tc>
        <w:tc>
          <w:tcPr>
            <w:tcW w:type="dxa" w:w="29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Production DC1</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-CleanupEnvVars</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Remove GPO env vars after successful activation</w:t>
            </w:r>
          </w:p>
        </w:tc>
        <w:tc>
          <w:tcPr>
            <w:tcW w:type="dxa" w:w="29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color w:val="333333"/>
                <w:sz w:val="20"/>
                <w:szCs w:val="20"/>
              </w:rPr>
              <w:t xml:space="preserve">Off (switch)</w:t>
            </w:r>
          </w:p>
        </w:tc>
      </w:tr>
      <w:tr>
        <w:tc>
          <w:tcPr>
            <w:tcW w:type="dxa" w:w="2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-LogFile</w:t>
            </w:r>
          </w:p>
        </w:tc>
        <w:tc>
          <w:tcPr>
            <w:tcW w:type="dxa" w:w="420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Log file path</w:t>
            </w:r>
          </w:p>
        </w:tc>
        <w:tc>
          <w:tcPr>
            <w:tcW w:type="dxa" w:w="2960"/>
            <w:tcBorders>
              <w:top w:val="single" w:color="B0C4DE" w:sz="1"/>
              <w:left w:val="single" w:color="B0C4DE" w:sz="1"/>
              <w:bottom w:val="single" w:color="B0C4DE" w:sz="1"/>
              <w:right w:val="single" w:color="B0C4DE"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\\share\logs\HOSTNAME_tlm.log</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8"/>
              <w:bottom w:val="single" w:color="F9A825" w:sz="1"/>
              <w:right w:val="single" w:color="F9A825" w:sz="1"/>
            </w:tcBorders>
            <w:shd w:fill="FFF8E1" w:val="clear"/>
            <w:tcMar>
              <w:top w:type="dxa" w:w="100"/>
              <w:left w:type="dxa" w:w="200"/>
              <w:bottom w:type="dxa" w:w="100"/>
              <w:right w:type="dxa" w:w="200"/>
            </w:tcMar>
          </w:tcPr>
          <w:p>
            <w:r>
              <w:rPr>
                <w:rFonts w:ascii="Arial" w:cs="Arial" w:eastAsia="Arial" w:hAnsi="Arial"/>
                <w:color w:val="333333"/>
                <w:sz w:val="20"/>
                <w:szCs w:val="20"/>
              </w:rPr>
              <w:t xml:space="preserve">⚠  The -LogFile default path in the script must be updated to match your environment's</w:t>
            </w:r>
          </w:p>
          <w:p>
            <w:r>
              <w:rPr>
                <w:rFonts w:ascii="Arial" w:cs="Arial" w:eastAsia="Arial" w:hAnsi="Arial"/>
                <w:color w:val="333333"/>
                <w:sz w:val="20"/>
                <w:szCs w:val="20"/>
              </w:rPr>
              <w:t xml:space="preserve">network share. Edit line 99 of Deploy-TLMAgent.ps1 before deployment.</w:t>
            </w:r>
          </w:p>
        </w:tc>
      </w:tr>
    </w:tbl>
    <w:p>
      <w:r>
        <w:br w:type="page"/>
      </w:r>
    </w:p>
    <w:p>
      <w:pPr>
        <w:spacing w:before="360" w:after="200"/>
      </w:pPr>
      <w:r>
        <w:rPr>
          <w:rFonts w:ascii="Arial" w:cs="Arial" w:eastAsia="Arial" w:hAnsi="Arial"/>
          <w:b/>
          <w:bCs/>
          <w:color w:val="0055A4"/>
          <w:sz w:val="32"/>
          <w:szCs w:val="32"/>
        </w:rPr>
        <w:t xml:space="preserve">6. Key Configuration Notes</w:t>
      </w:r>
    </w:p>
    <w:p>
      <w:pPr>
        <w:spacing w:before="300" w:after="160"/>
      </w:pPr>
      <w:r>
        <w:rPr>
          <w:rFonts w:ascii="Arial" w:cs="Arial" w:eastAsia="Arial" w:hAnsi="Arial"/>
          <w:b/>
          <w:bCs/>
          <w:color w:val="333333"/>
          <w:sz w:val="26"/>
          <w:szCs w:val="26"/>
        </w:rPr>
        <w:t xml:space="preserve">Service Account Permissions</w:t>
      </w:r>
    </w:p>
    <w:p>
      <w:pPr>
        <w:spacing w:before="60" w:after="100"/>
      </w:pPr>
      <w:r>
        <w:rPr>
          <w:rFonts w:ascii="Arial" w:cs="Arial" w:eastAsia="Arial" w:hAnsi="Arial"/>
          <w:color w:val="333333"/>
          <w:sz w:val="20"/>
          <w:szCs w:val="20"/>
        </w:rPr>
        <w:t xml:space="preserve">The scheduled task must run under a service account (not SYSTEM). The SYSTEM account does not have access to network shares and the task will fail if configured to use it. The service account requires read/execute access to the file share and local administrator rights on target machines.</w:t>
      </w:r>
    </w:p>
    <w:p>
      <w:pPr>
        <w:spacing w:before="300" w:after="160"/>
      </w:pPr>
      <w:r>
        <w:rPr>
          <w:rFonts w:ascii="Arial" w:cs="Arial" w:eastAsia="Arial" w:hAnsi="Arial"/>
          <w:b/>
          <w:bCs/>
          <w:color w:val="333333"/>
          <w:sz w:val="26"/>
          <w:szCs w:val="26"/>
        </w:rPr>
        <w:t xml:space="preserve">Scheduled Task Arguments Character Limit</w:t>
      </w:r>
    </w:p>
    <w:p>
      <w:pPr>
        <w:spacing w:before="60" w:after="100"/>
      </w:pPr>
      <w:r>
        <w:rPr>
          <w:rFonts w:ascii="Arial" w:cs="Arial" w:eastAsia="Arial" w:hAnsi="Arial"/>
          <w:color w:val="333333"/>
          <w:sz w:val="20"/>
          <w:szCs w:val="20"/>
        </w:rPr>
        <w:t xml:space="preserve">Windows Scheduled Tasks enforce a 255-character limit on the arguments field. Content beyond this length is silently truncated, causing the task to fail. Keep UNC share paths short and do not pass the -LogFile parameter in the arguments. The script generates per-machine log files internally.</w:t>
      </w:r>
    </w:p>
    <w:p>
      <w:pPr>
        <w:spacing w:before="300" w:after="160"/>
      </w:pPr>
      <w:r>
        <w:rPr>
          <w:rFonts w:ascii="Arial" w:cs="Arial" w:eastAsia="Arial" w:hAnsi="Arial"/>
          <w:b/>
          <w:bCs/>
          <w:color w:val="333333"/>
          <w:sz w:val="26"/>
          <w:szCs w:val="26"/>
        </w:rPr>
        <w:t xml:space="preserve">Environment Variable Retrieval</w:t>
      </w:r>
    </w:p>
    <w:p>
      <w:pPr>
        <w:spacing w:before="60" w:after="100"/>
      </w:pPr>
      <w:r>
        <w:rPr>
          <w:rFonts w:ascii="Arial" w:cs="Arial" w:eastAsia="Arial" w:hAnsi="Arial"/>
          <w:color w:val="333333"/>
          <w:sz w:val="20"/>
          <w:szCs w:val="20"/>
        </w:rPr>
        <w:t xml:space="preserve">The script reads environment variables directly from the Windows registry (Machine target) rather than from the process environment block ($env:). This avoids failures on first run when GPO-set variables have been written to the registry but are not yet reflected in the running process environment. A fallback to $env: is included as a safety net.</w:t>
      </w:r>
    </w:p>
    <w:p>
      <w:pPr>
        <w:spacing w:before="300" w:after="160"/>
      </w:pPr>
      <w:r>
        <w:rPr>
          <w:rFonts w:ascii="Arial" w:cs="Arial" w:eastAsia="Arial" w:hAnsi="Arial"/>
          <w:b/>
          <w:bCs/>
          <w:color w:val="333333"/>
          <w:sz w:val="26"/>
          <w:szCs w:val="26"/>
        </w:rPr>
        <w:t xml:space="preserve">API Key Cleanup</w:t>
      </w:r>
    </w:p>
    <w:p>
      <w:pPr>
        <w:spacing w:before="60" w:after="100"/>
      </w:pPr>
      <w:r>
        <w:rPr>
          <w:rFonts w:ascii="Arial" w:cs="Arial" w:eastAsia="Arial" w:hAnsi="Arial"/>
          <w:color w:val="333333"/>
          <w:sz w:val="20"/>
          <w:szCs w:val="20"/>
        </w:rPr>
        <w:t xml:space="preserve">After successful agent activation, the script can remove the DC_API_KEY, TLM_BUSINESS_UNIT, TLM_AGENT_NAME, and DCONE_HOST environment variables from the machine. Use the -CleanupEnvVars switch to enable this. Note that if the GPO is still active, these variables will be recreated at the next Group Policy refresh. Consider using WMI filtering on the GPO to exclude activated machines.</w:t>
      </w:r>
    </w:p>
    <w:p>
      <w:pPr>
        <w:spacing w:before="300" w:after="160"/>
      </w:pPr>
      <w:r>
        <w:rPr>
          <w:rFonts w:ascii="Arial" w:cs="Arial" w:eastAsia="Arial" w:hAnsi="Arial"/>
          <w:b/>
          <w:bCs/>
          <w:color w:val="333333"/>
          <w:sz w:val="26"/>
          <w:szCs w:val="26"/>
        </w:rPr>
        <w:t xml:space="preserve">Non-Production Environments</w:t>
      </w:r>
    </w:p>
    <w:p>
      <w:pPr>
        <w:spacing w:before="60" w:after="100"/>
      </w:pPr>
      <w:r>
        <w:rPr>
          <w:rFonts w:ascii="Arial" w:cs="Arial" w:eastAsia="Arial" w:hAnsi="Arial"/>
          <w:color w:val="333333"/>
          <w:sz w:val="20"/>
          <w:szCs w:val="20"/>
        </w:rPr>
        <w:t xml:space="preserve">The script defaults to DigiCert ONE Production (DC1). For Demo or Staging environments, set the DCONE_HOST environment variable via GPO (e.g. demo.one.digicert.com) or pass the -DcOneHost parameter.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TLM Agent GPO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2026-02-10T12:49:08.963Z</dcterms:created>
  <dcterms:modified xsi:type="dcterms:W3CDTF">2026-02-10T12:49:08.964Z</dcterms:modified>
</cp:coreProperties>
</file>

<file path=docProps/custom.xml><?xml version="1.0" encoding="utf-8"?>
<Properties xmlns="http://schemas.openxmlformats.org/officeDocument/2006/custom-properties" xmlns:vt="http://schemas.openxmlformats.org/officeDocument/2006/docPropsVTypes"/>
</file>