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jc w:val="center"/>
      </w:pPr>
      <w:r w:rsidDel="00000000" w:rsidR="00000000" w:rsidRPr="00000000">
        <w:rPr>
          <w:b w:val="1"/>
          <w:sz w:val="52"/>
          <w:szCs w:val="52"/>
          <w:highlight w:val="white"/>
          <w:u w:val="single"/>
          <w:rtl w:val="0"/>
        </w:rPr>
        <w:t xml:space="preserve">Template with Example</w:t>
      </w:r>
    </w:p>
    <w:p w:rsidR="00000000" w:rsidDel="00000000" w:rsidP="00000000" w:rsidRDefault="00000000" w:rsidRPr="00000000">
      <w:pPr>
        <w:contextualSpacing w:val="0"/>
        <w:jc w:val="center"/>
      </w:pPr>
      <w:r w:rsidDel="00000000" w:rsidR="00000000" w:rsidRPr="00000000">
        <w:rPr>
          <w:b w:val="1"/>
          <w:sz w:val="19"/>
          <w:szCs w:val="19"/>
          <w:highlight w:val="white"/>
          <w:rtl w:val="0"/>
        </w:rPr>
        <w:t xml:space="preserve"> </w:t>
      </w:r>
    </w:p>
    <w:p w:rsidR="00000000" w:rsidDel="00000000" w:rsidP="00000000" w:rsidRDefault="00000000" w:rsidRPr="00000000">
      <w:pPr>
        <w:contextualSpacing w:val="0"/>
        <w:jc w:val="center"/>
      </w:pPr>
      <w:r w:rsidDel="00000000" w:rsidR="00000000" w:rsidRPr="00000000">
        <w:rPr>
          <w:b w:val="1"/>
          <w:sz w:val="19"/>
          <w:szCs w:val="19"/>
          <w:highlight w:val="white"/>
          <w:rtl w:val="0"/>
        </w:rPr>
        <w:t xml:space="preserve"> </w:t>
      </w:r>
    </w:p>
    <w:p w:rsidR="00000000" w:rsidDel="00000000" w:rsidP="00000000" w:rsidRDefault="00000000" w:rsidRPr="00000000">
      <w:pPr>
        <w:contextualSpacing w:val="0"/>
        <w:jc w:val="center"/>
      </w:pPr>
      <w:r w:rsidDel="00000000" w:rsidR="00000000" w:rsidRPr="00000000">
        <w:rPr>
          <w:b w:val="1"/>
          <w:sz w:val="19"/>
          <w:szCs w:val="19"/>
          <w:highlight w:val="white"/>
          <w:rtl w:val="0"/>
        </w:rPr>
        <w:t xml:space="preserve"> </w:t>
      </w:r>
    </w:p>
    <w:p w:rsidR="00000000" w:rsidDel="00000000" w:rsidP="00000000" w:rsidRDefault="00000000" w:rsidRPr="00000000">
      <w:pPr>
        <w:contextualSpacing w:val="0"/>
        <w:jc w:val="center"/>
      </w:pPr>
      <w:r w:rsidDel="00000000" w:rsidR="00000000" w:rsidRPr="00000000">
        <w:rPr>
          <w:b w:val="1"/>
          <w:sz w:val="19"/>
          <w:szCs w:val="19"/>
          <w:highlight w:val="white"/>
          <w:rtl w:val="0"/>
        </w:rPr>
        <w:t xml:space="preserve">ORDINANCE</w:t>
      </w:r>
    </w:p>
    <w:p w:rsidR="00000000" w:rsidDel="00000000" w:rsidP="00000000" w:rsidRDefault="00000000" w:rsidRPr="00000000">
      <w:pPr>
        <w:contextualSpacing w:val="0"/>
      </w:pPr>
      <w:r w:rsidDel="00000000" w:rsidR="00000000" w:rsidRPr="00000000">
        <w:rPr>
          <w:b w:val="1"/>
          <w:sz w:val="19"/>
          <w:szCs w:val="19"/>
          <w:highlight w:val="white"/>
          <w:rtl w:val="0"/>
        </w:rPr>
        <w:t xml:space="preserve"> </w:t>
      </w:r>
    </w:p>
    <w:p w:rsidR="00000000" w:rsidDel="00000000" w:rsidP="00000000" w:rsidRDefault="00000000" w:rsidRPr="00000000">
      <w:pPr>
        <w:contextualSpacing w:val="0"/>
        <w:jc w:val="center"/>
      </w:pPr>
      <w:r w:rsidDel="00000000" w:rsidR="00000000" w:rsidRPr="00000000">
        <w:rPr>
          <w:b w:val="1"/>
          <w:sz w:val="19"/>
          <w:szCs w:val="19"/>
          <w:highlight w:val="white"/>
          <w:rtl w:val="0"/>
        </w:rPr>
        <w:t xml:space="preserve">BE IT ORDAINED BY THE CITY COUNCIL OF THE CITY OF CHICAGO:</w:t>
      </w:r>
    </w:p>
    <w:p w:rsidR="00000000" w:rsidDel="00000000" w:rsidP="00000000" w:rsidRDefault="00000000" w:rsidRPr="00000000">
      <w:pPr>
        <w:contextualSpacing w:val="0"/>
      </w:pPr>
      <w:r w:rsidDel="00000000" w:rsidR="00000000" w:rsidRPr="00000000">
        <w:rPr>
          <w:b w:val="1"/>
          <w:sz w:val="19"/>
          <w:szCs w:val="19"/>
          <w:highlight w:val="white"/>
          <w:rtl w:val="0"/>
        </w:rPr>
        <w:t xml:space="preserve"> </w:t>
      </w:r>
    </w:p>
    <w:p w:rsidR="00000000" w:rsidDel="00000000" w:rsidP="00000000" w:rsidRDefault="00000000" w:rsidRPr="00000000">
      <w:pPr>
        <w:contextualSpacing w:val="0"/>
      </w:pPr>
      <w:r w:rsidDel="00000000" w:rsidR="00000000" w:rsidRPr="00000000">
        <w:rPr>
          <w:b w:val="1"/>
          <w:sz w:val="19"/>
          <w:szCs w:val="19"/>
          <w:highlight w:val="white"/>
          <w:rtl w:val="0"/>
        </w:rPr>
        <w:t xml:space="preserve">SECTION 1.</w:t>
      </w:r>
      <w:r w:rsidDel="00000000" w:rsidR="00000000" w:rsidRPr="00000000">
        <w:rPr>
          <w:sz w:val="19"/>
          <w:szCs w:val="19"/>
          <w:highlight w:val="white"/>
          <w:rtl w:val="0"/>
        </w:rPr>
        <w:t xml:space="preserve"> Pursuant to Title 9, Chapter 64, Section 090, of the Municipal Code of Chicago, portions of the below named streets are hereby designated as residential parking zone, for the following locations:</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That the ordinances heretofore passed by the City Council establishing Residential Permit Parking Zones in the </w:t>
      </w:r>
      <w:r w:rsidDel="00000000" w:rsidR="00000000" w:rsidRPr="00000000">
        <w:rPr>
          <w:i w:val="1"/>
          <w:sz w:val="19"/>
          <w:szCs w:val="19"/>
          <w:highlight w:val="white"/>
          <w:rtl w:val="0"/>
        </w:rPr>
        <w:t xml:space="preserve">[___] </w:t>
      </w:r>
      <w:r w:rsidDel="00000000" w:rsidR="00000000" w:rsidRPr="00000000">
        <w:rPr>
          <w:sz w:val="19"/>
          <w:szCs w:val="19"/>
          <w:highlight w:val="white"/>
          <w:rtl w:val="0"/>
        </w:rPr>
        <w:t xml:space="preserve">Ward in the area with the following boundaries:</w:t>
      </w:r>
    </w:p>
    <w:p w:rsidR="00000000" w:rsidDel="00000000" w:rsidP="00000000" w:rsidRDefault="00000000" w:rsidRPr="00000000">
      <w:pPr>
        <w:contextualSpacing w:val="0"/>
      </w:pPr>
      <w:r w:rsidDel="00000000" w:rsidR="00000000" w:rsidRPr="00000000">
        <w:rPr>
          <w:color w:val="808080"/>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808080"/>
          <w:sz w:val="19"/>
          <w:szCs w:val="19"/>
          <w:highlight w:val="white"/>
          <w:rtl w:val="0"/>
        </w:rPr>
        <w:t xml:space="preserve">·</w:t>
      </w:r>
      <w:r w:rsidDel="00000000" w:rsidR="00000000" w:rsidRPr="00000000">
        <w:rPr>
          <w:color w:val="808080"/>
          <w:sz w:val="14"/>
          <w:szCs w:val="14"/>
          <w:highlight w:val="white"/>
          <w:rtl w:val="0"/>
        </w:rPr>
        <w:t xml:space="preserve">      </w:t>
      </w:r>
      <w:r w:rsidDel="00000000" w:rsidR="00000000" w:rsidRPr="00000000">
        <w:rPr>
          <w:b w:val="1"/>
          <w:color w:val="808080"/>
          <w:sz w:val="19"/>
          <w:szCs w:val="19"/>
          <w:highlight w:val="white"/>
          <w:rtl w:val="0"/>
        </w:rPr>
        <w:t xml:space="preserve">[RANGE OF ADDRESSES]</w:t>
      </w:r>
      <w:r w:rsidDel="00000000" w:rsidR="00000000" w:rsidRPr="00000000">
        <w:rPr>
          <w:color w:val="808080"/>
          <w:sz w:val="19"/>
          <w:szCs w:val="19"/>
          <w:highlight w:val="white"/>
          <w:rtl w:val="0"/>
        </w:rPr>
        <w:t xml:space="preserve"> (even side of the street); </w:t>
      </w:r>
      <w:r w:rsidDel="00000000" w:rsidR="00000000" w:rsidRPr="00000000">
        <w:rPr>
          <w:b w:val="1"/>
          <w:color w:val="808080"/>
          <w:sz w:val="19"/>
          <w:szCs w:val="19"/>
          <w:highlight w:val="white"/>
          <w:rtl w:val="0"/>
        </w:rPr>
        <w:t xml:space="preserve">[RANGE OF ADDRESSES]</w:t>
      </w:r>
      <w:r w:rsidDel="00000000" w:rsidR="00000000" w:rsidRPr="00000000">
        <w:rPr>
          <w:color w:val="808080"/>
          <w:sz w:val="19"/>
          <w:szCs w:val="19"/>
          <w:highlight w:val="white"/>
          <w:rtl w:val="0"/>
        </w:rPr>
        <w:t xml:space="preserve"> (odd side of the street); </w:t>
      </w:r>
      <w:r w:rsidDel="00000000" w:rsidR="00000000" w:rsidRPr="00000000">
        <w:rPr>
          <w:b w:val="1"/>
          <w:color w:val="808080"/>
          <w:sz w:val="19"/>
          <w:szCs w:val="19"/>
          <w:highlight w:val="white"/>
          <w:rtl w:val="0"/>
        </w:rPr>
        <w:t xml:space="preserve">[LIST NEW HOURS,DAYS], (Zone xxx)</w:t>
      </w:r>
    </w:p>
    <w:p w:rsidR="00000000" w:rsidDel="00000000" w:rsidP="00000000" w:rsidRDefault="00000000" w:rsidRPr="00000000">
      <w:pPr>
        <w:contextualSpacing w:val="0"/>
        <w:jc w:val="center"/>
      </w:pPr>
      <w:r w:rsidDel="00000000" w:rsidR="00000000" w:rsidRPr="00000000">
        <w:rPr>
          <w:b w:val="1"/>
          <w:i w:val="1"/>
          <w:color w:val="808080"/>
          <w:sz w:val="18"/>
          <w:szCs w:val="18"/>
          <w:highlight w:val="white"/>
          <w:rtl w:val="0"/>
        </w:rPr>
        <w:t xml:space="preserve">(TEMPLATE)</w:t>
      </w:r>
    </w:p>
    <w:p w:rsidR="00000000" w:rsidDel="00000000" w:rsidP="00000000" w:rsidRDefault="00000000" w:rsidRPr="00000000">
      <w:pPr>
        <w:contextualSpacing w:val="0"/>
        <w:jc w:val="center"/>
      </w:pPr>
      <w:r w:rsidDel="00000000" w:rsidR="00000000" w:rsidRPr="00000000">
        <w:rPr>
          <w:i w:val="1"/>
          <w:sz w:val="18"/>
          <w:szCs w:val="18"/>
          <w:highlight w:val="white"/>
          <w:rtl w:val="0"/>
        </w:rPr>
        <w:t xml:space="preserve"> </w:t>
      </w:r>
    </w:p>
    <w:p w:rsidR="00000000" w:rsidDel="00000000" w:rsidP="00000000" w:rsidRDefault="00000000" w:rsidRPr="00000000">
      <w:pPr>
        <w:contextualSpacing w:val="0"/>
      </w:pPr>
      <w:r w:rsidDel="00000000" w:rsidR="00000000" w:rsidRPr="00000000">
        <w:rPr>
          <w:color w:val="808080"/>
          <w:sz w:val="19"/>
          <w:szCs w:val="19"/>
          <w:highlight w:val="white"/>
          <w:rtl w:val="0"/>
        </w:rPr>
        <w:t xml:space="preserve">·</w:t>
      </w:r>
      <w:r w:rsidDel="00000000" w:rsidR="00000000" w:rsidRPr="00000000">
        <w:rPr>
          <w:color w:val="808080"/>
          <w:sz w:val="14"/>
          <w:szCs w:val="14"/>
          <w:highlight w:val="white"/>
          <w:rtl w:val="0"/>
        </w:rPr>
        <w:t xml:space="preserve">      </w:t>
      </w:r>
      <w:r w:rsidDel="00000000" w:rsidR="00000000" w:rsidRPr="00000000">
        <w:rPr>
          <w:color w:val="808080"/>
          <w:sz w:val="19"/>
          <w:szCs w:val="19"/>
          <w:highlight w:val="white"/>
          <w:rtl w:val="0"/>
        </w:rPr>
        <w:t xml:space="preserve">6300 to 6342 North Claremont Avenue (even side of the street); 6301 to 6343 North Claremont Avenue (odd side of the street);  6 a.m. to 10 p.m., all days (Zone 123)</w:t>
      </w:r>
    </w:p>
    <w:p w:rsidR="00000000" w:rsidDel="00000000" w:rsidP="00000000" w:rsidRDefault="00000000" w:rsidRPr="00000000">
      <w:pPr>
        <w:contextualSpacing w:val="0"/>
        <w:jc w:val="center"/>
      </w:pPr>
      <w:r w:rsidDel="00000000" w:rsidR="00000000" w:rsidRPr="00000000">
        <w:rPr>
          <w:b w:val="1"/>
          <w:i w:val="1"/>
          <w:color w:val="808080"/>
          <w:sz w:val="18"/>
          <w:szCs w:val="18"/>
          <w:highlight w:val="white"/>
          <w:rtl w:val="0"/>
        </w:rPr>
        <w:t xml:space="preserve">(EXAMPLE)</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Are hereby amended, and this Ordinance establishes that within the aforementioned boundaries, Residential Permit Parking Zone </w:t>
      </w:r>
      <w:r w:rsidDel="00000000" w:rsidR="00000000" w:rsidRPr="00000000">
        <w:rPr>
          <w:b w:val="1"/>
          <w:sz w:val="19"/>
          <w:szCs w:val="19"/>
          <w:highlight w:val="white"/>
          <w:rtl w:val="0"/>
        </w:rPr>
        <w:t xml:space="preserve">[1234],</w:t>
      </w:r>
      <w:r w:rsidDel="00000000" w:rsidR="00000000" w:rsidRPr="00000000">
        <w:rPr>
          <w:sz w:val="19"/>
          <w:szCs w:val="19"/>
          <w:highlight w:val="white"/>
          <w:rtl w:val="0"/>
        </w:rPr>
        <w:t xml:space="preserve"> shall take effect upon passage and publication.</w:t>
      </w:r>
    </w:p>
    <w:p w:rsidR="00000000" w:rsidDel="00000000" w:rsidP="00000000" w:rsidRDefault="00000000" w:rsidRPr="00000000">
      <w:pPr>
        <w:contextualSpacing w:val="0"/>
        <w:jc w:val="center"/>
      </w:pPr>
      <w:r w:rsidDel="00000000" w:rsidR="00000000" w:rsidRPr="00000000">
        <w:rPr>
          <w:i w:val="1"/>
          <w:sz w:val="19"/>
          <w:szCs w:val="19"/>
          <w:highlight w:val="white"/>
          <w:rtl w:val="0"/>
        </w:rPr>
        <w:t xml:space="preserve"> </w:t>
      </w:r>
    </w:p>
    <w:p w:rsidR="00000000" w:rsidDel="00000000" w:rsidP="00000000" w:rsidRDefault="00000000" w:rsidRPr="00000000">
      <w:pPr>
        <w:contextualSpacing w:val="0"/>
      </w:pPr>
      <w:r w:rsidDel="00000000" w:rsidR="00000000" w:rsidRPr="00000000">
        <w:rPr>
          <w:b w:val="1"/>
          <w:sz w:val="19"/>
          <w:szCs w:val="19"/>
          <w:highlight w:val="white"/>
          <w:rtl w:val="0"/>
        </w:rPr>
        <w:t xml:space="preserve">SECTION 2.</w:t>
      </w:r>
      <w:r w:rsidDel="00000000" w:rsidR="00000000" w:rsidRPr="00000000">
        <w:rPr>
          <w:sz w:val="19"/>
          <w:szCs w:val="19"/>
          <w:highlight w:val="white"/>
          <w:rtl w:val="0"/>
        </w:rPr>
        <w:t xml:space="preserve"> This ordinance shall be in force and take effect upon passage and publication.</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                                                                        </w:t>
      </w:r>
      <w:r w:rsidDel="00000000" w:rsidR="00000000" w:rsidRPr="00000000">
        <w:rPr>
          <w:sz w:val="19"/>
          <w:szCs w:val="19"/>
          <w:highlight w:val="white"/>
          <w:u w:val="single"/>
          <w:rtl w:val="0"/>
        </w:rPr>
        <w:t xml:space="preserve">                                               </w:t>
      </w:r>
    </w:p>
    <w:p w:rsidR="00000000" w:rsidDel="00000000" w:rsidP="00000000" w:rsidRDefault="00000000" w:rsidRPr="00000000">
      <w:pPr>
        <w:contextualSpacing w:val="0"/>
      </w:pPr>
      <w:r w:rsidDel="00000000" w:rsidR="00000000" w:rsidRPr="00000000">
        <w:rPr>
          <w:sz w:val="19"/>
          <w:szCs w:val="19"/>
          <w:highlight w:val="white"/>
          <w:rtl w:val="0"/>
        </w:rPr>
        <w:t xml:space="preserve">                                                                    </w:t>
        <w:tab/>
        <w:t xml:space="preserve">Name</w:t>
      </w:r>
    </w:p>
    <w:p w:rsidR="00000000" w:rsidDel="00000000" w:rsidP="00000000" w:rsidRDefault="00000000" w:rsidRPr="00000000">
      <w:pPr>
        <w:contextualSpacing w:val="0"/>
      </w:pPr>
      <w:r w:rsidDel="00000000" w:rsidR="00000000" w:rsidRPr="00000000">
        <w:rPr>
          <w:sz w:val="19"/>
          <w:szCs w:val="19"/>
          <w:highlight w:val="white"/>
          <w:rtl w:val="0"/>
        </w:rPr>
        <w:t xml:space="preserve">Alderman, __ 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