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EXECUTIVE BUSINESS PROPOSAL</w:t>
      </w:r>
    </w:p>
    <w:p>
      <w:r>
        <w:rPr>
          <w:b/>
          <w:bCs/>
        </w:rPr>
        <w:t xml:space="preserve">Project Title:</w:t>
      </w:r>
      <w:r>
        <w:t xml:space="preserve"> Next-Generation Digital Transformation &amp; AI Integration</w:t>
      </w:r>
      <w:r>
        <w:br/>
      </w:r>
      <w:r>
        <w:rPr>
          <w:b/>
          <w:bCs/>
        </w:rPr>
        <w:t xml:space="preserve">Presented To:</w:t>
      </w:r>
      <w:r>
        <w:t xml:space="preserve"> Sterling Financial Partners</w:t>
      </w:r>
      <w:r>
        <w:br/>
      </w:r>
      <w:r>
        <w:rPr>
          <w:b/>
          <w:bCs/>
        </w:rPr>
        <w:t xml:space="preserve">Prepared By:</w:t>
      </w:r>
      <w:r>
        <w:t xml:space="preserve"> DigiBiz Advisory &amp; Strategy Group</w:t>
      </w:r>
      <w:r>
        <w:br/>
      </w:r>
      <w:r>
        <w:rPr>
          <w:b/>
          <w:bCs/>
        </w:rPr>
        <w:t xml:space="preserve">Date:</w:t>
      </w:r>
      <w:r>
        <w:t xml:space="preserve"> October 21, 2026 | Version: 2.1 Final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1. Executive Summary</w:t>
      </w:r>
    </w:p>
    <w:p>
      <w:r>
        <w:t xml:space="preserve">Sterling Financial Partners is positioned to capture substantial market share by modernizing its core operational infrastructure. This proposal outlines a comprehensive 6-month roadmap to deploy an integrated enterprise suite, automating 75% of routine paperwork, eliminating data silos, and cutting operational processing overhead by 40%.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2. Problem Statement &amp; Market Opportunity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Bottlenecks:</w:t>
      </w:r>
      <w:r>
        <w:t xml:space="preserve"> Legacy document handling, manual spreadsheet entry, fragmented team communications.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Business Impact:</w:t>
      </w:r>
      <w:r>
        <w:t xml:space="preserve"> Over 12 hours lost per employee weekly on redundant administrative workflows.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Opportunity:</w:t>
      </w:r>
      <w:r>
        <w:t xml:space="preserve"> Deploying DigiOffice Suite and DigiBizOS to provide single-pane-of-glass collaboration with strict local data sovereignty and bank-grade encryption.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3. Recommended Solution Architecture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Core Collaboration Layer:</w:t>
      </w:r>
      <w:r>
        <w:t xml:space="preserve"> DigiOffice Suite deployment across desktop and hybrid cloud nodes.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AI Automation Engine:</w:t>
      </w:r>
      <w:r>
        <w:t xml:space="preserve"> Secure local LLM pipeline for instantaneous document summarization and audit compliance.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Enterprise Integration:</w:t>
      </w:r>
      <w:r>
        <w:t xml:space="preserve"> Seamless bidirectional synchronization with existing ERP and CRM datastores.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4. Implementation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Milestone Description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Duration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Target Delivery</w:t>
            </w:r>
          </w:p>
        </w:tc>
      </w:tr>
      <w:tr>
        <w:tc>
          <w:tcPr>
            <w:tcW w:w="2340" w:type="dxa"/>
          </w:tcPr>
          <w:p>
            <w:r>
              <w:t xml:space="preserve">Phase 1</w:t>
            </w:r>
          </w:p>
        </w:tc>
        <w:tc>
          <w:tcPr>
            <w:tcW w:w="2340" w:type="dxa"/>
          </w:tcPr>
          <w:p>
            <w:r>
              <w:t xml:space="preserve">Requirements Gathering &amp; Architecture Audit</w:t>
            </w:r>
          </w:p>
        </w:tc>
        <w:tc>
          <w:tcPr>
            <w:tcW w:w="2340" w:type="dxa"/>
          </w:tcPr>
          <w:p>
            <w:r>
              <w:t xml:space="preserve">Weeks 1-4</w:t>
            </w:r>
          </w:p>
        </w:tc>
        <w:tc>
          <w:tcPr>
            <w:tcW w:w="2340" w:type="dxa"/>
          </w:tcPr>
          <w:p>
            <w:r>
              <w:t xml:space="preserve">Nov 20, 2026</w:t>
            </w:r>
          </w:p>
        </w:tc>
      </w:tr>
      <w:tr>
        <w:tc>
          <w:tcPr>
            <w:tcW w:w="2340" w:type="dxa"/>
          </w:tcPr>
          <w:p>
            <w:r>
              <w:t xml:space="preserve">Phase 2</w:t>
            </w:r>
          </w:p>
        </w:tc>
        <w:tc>
          <w:tcPr>
            <w:tcW w:w="2340" w:type="dxa"/>
          </w:tcPr>
          <w:p>
            <w:r>
              <w:t xml:space="preserve">Pilot Deployment &amp; Core Module Customization</w:t>
            </w:r>
          </w:p>
        </w:tc>
        <w:tc>
          <w:tcPr>
            <w:tcW w:w="2340" w:type="dxa"/>
          </w:tcPr>
          <w:p>
            <w:r>
              <w:t xml:space="preserve">Weeks 5-12</w:t>
            </w:r>
          </w:p>
        </w:tc>
        <w:tc>
          <w:tcPr>
            <w:tcW w:w="2340" w:type="dxa"/>
          </w:tcPr>
          <w:p>
            <w:r>
              <w:t xml:space="preserve">Jan 15, 2027</w:t>
            </w:r>
          </w:p>
        </w:tc>
      </w:tr>
      <w:tr>
        <w:tc>
          <w:tcPr>
            <w:tcW w:w="2340" w:type="dxa"/>
          </w:tcPr>
          <w:p>
            <w:r>
              <w:t xml:space="preserve">Phase 3</w:t>
            </w:r>
          </w:p>
        </w:tc>
        <w:tc>
          <w:tcPr>
            <w:tcW w:w="2340" w:type="dxa"/>
          </w:tcPr>
          <w:p>
            <w:r>
              <w:t xml:space="preserve">Enterprise Migration &amp; Staff Onboarding</w:t>
            </w:r>
          </w:p>
        </w:tc>
        <w:tc>
          <w:tcPr>
            <w:tcW w:w="2340" w:type="dxa"/>
          </w:tcPr>
          <w:p>
            <w:r>
              <w:t xml:space="preserve">Weeks 13-20</w:t>
            </w:r>
          </w:p>
        </w:tc>
        <w:tc>
          <w:tcPr>
            <w:tcW w:w="2340" w:type="dxa"/>
          </w:tcPr>
          <w:p>
            <w:r>
              <w:t xml:space="preserve">Mar 15, 2027</w:t>
            </w:r>
          </w:p>
        </w:tc>
      </w:tr>
      <w:tr>
        <w:tc>
          <w:tcPr>
            <w:tcW w:w="2340" w:type="dxa"/>
          </w:tcPr>
          <w:p>
            <w:r>
              <w:t xml:space="preserve">Phase 4</w:t>
            </w:r>
          </w:p>
        </w:tc>
        <w:tc>
          <w:tcPr>
            <w:tcW w:w="2340" w:type="dxa"/>
          </w:tcPr>
          <w:p>
            <w:r>
              <w:t xml:space="preserve">Full Go-Live, Security Audit &amp; Post-Launch Review</w:t>
            </w:r>
          </w:p>
        </w:tc>
        <w:tc>
          <w:tcPr>
            <w:tcW w:w="2340" w:type="dxa"/>
          </w:tcPr>
          <w:p>
            <w:r>
              <w:t xml:space="preserve">Weeks 21-24</w:t>
            </w:r>
          </w:p>
        </w:tc>
        <w:tc>
          <w:tcPr>
            <w:tcW w:w="2340" w:type="dxa"/>
          </w:tcPr>
          <w:p>
            <w:r>
              <w:t xml:space="preserve">Apr 15, 2027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5. Commercial Investment &amp; ROI 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Investment:</w:t>
      </w:r>
      <w:r>
        <w:t xml:space="preserve"> $85,000 USD (Includes licensing, implementation, migration, and 12-month tier-1 support).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Projected 3-Year Cost Savings:</w:t>
      </w:r>
      <w:r>
        <w:t xml:space="preserve"> $340,000 USD.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Estimated Payback Period:</w:t>
      </w:r>
      <w:r>
        <w:t xml:space="preserve"> 7.5 Months.</w:t>
      </w:r>
    </w:p>
    <w:p>
      <w:r>
        <w:rPr>
          <w:i/>
          <w:iCs/>
        </w:rPr>
        <w:t xml:space="preserve">Authorized for Client Acceptance:</w:t>
      </w:r>
      <w:r>
        <w:br/>
      </w:r>
      <w:r>
        <w:t xml:space="preserve">Signature: __________________________ Title: ____________________ Date: ______________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