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CONSULTING &amp; PROFESSIONAL SERVICES INVOICE</w:t>
      </w:r>
    </w:p>
    <w:p>
      <w:r>
        <w:rPr>
          <w:b/>
          <w:bCs/>
        </w:rPr>
        <w:t xml:space="preserve">Invoice Reference:</w:t>
      </w:r>
      <w:r>
        <w:t xml:space="preserve"> FRL-2026-104</w:t>
      </w:r>
      <w:r>
        <w:br/>
      </w:r>
      <w:r>
        <w:rPr>
          <w:b/>
          <w:bCs/>
        </w:rPr>
        <w:t xml:space="preserve">Invoice Date:</w:t>
      </w:r>
      <w:r>
        <w:t xml:space="preserve"> October 21, 2026</w:t>
      </w:r>
      <w:r>
        <w:br/>
      </w:r>
      <w:r>
        <w:rPr>
          <w:b/>
          <w:bCs/>
        </w:rPr>
        <w:t xml:space="preserve">Due Upon Receipt (Net 14):</w:t>
      </w:r>
      <w:r>
        <w:t xml:space="preserve"> November 04, 2026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Consultant Details:</w:t>
      </w:r>
    </w:p>
    <w:p>
      <w:r>
        <w:rPr>
          <w:b/>
          <w:bCs/>
        </w:rPr>
        <w:t xml:space="preserve">Alex Mercer — Senior Full-Stack Architect</w:t>
      </w:r>
      <w:r>
        <w:br/>
      </w:r>
      <w:r>
        <w:t xml:space="preserve">Remote Engineering &amp; UI/UX Consultancy</w:t>
      </w:r>
      <w:r>
        <w:br/>
      </w:r>
      <w:r>
        <w:t xml:space="preserve">Email: </w:t>
      </w:r>
      <w:hyperlink r:id="rId3">
        <w:r>
          <w:rPr>
            <w:rStyle w:val="Hyperlink"/>
          </w:rPr>
          <w:t xml:space="preserve">alex.mercer.consulting@gmail.com</w:t>
        </w:r>
      </w:hyperlink>
      <w:r>
        <w:t xml:space="preserve"> | Phone: +1 (555) 349-8812  </w:t>
      </w:r>
    </w:p>
    <w:p>
      <w:pPr>
        <w:pStyle w:val="Heading3"/>
      </w:pPr>
      <w:r>
        <w:t xml:space="preserve">Client Details:</w:t>
      </w:r>
    </w:p>
    <w:p>
      <w:r>
        <w:rPr>
          <w:b/>
          <w:bCs/>
        </w:rPr>
        <w:t xml:space="preserve">NextWave Digital Media Agency</w:t>
      </w:r>
      <w:r>
        <w:br/>
      </w:r>
      <w:r>
        <w:t xml:space="preserve">Project: OmniChannel Client Portal Revamp</w:t>
      </w:r>
      <w:r>
        <w:br/>
      </w:r>
      <w:r>
        <w:t xml:space="preserve">Contact: Sarah Jenkins, Product Director</w:t>
      </w:r>
      <w:r>
        <w:br/>
      </w:r>
      <w:r>
        <w:t xml:space="preserve">Email: </w:t>
      </w:r>
      <w:hyperlink r:id="rId4">
        <w:r>
          <w:rPr>
            <w:rStyle w:val="Hyperlink"/>
          </w:rPr>
          <w:t xml:space="preserve">sjenkins@nextwavedigital.io</w:t>
        </w:r>
      </w:hyperlink>
      <w:r>
        <w:t xml:space="preserve">  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Professional Services Delivered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Date / Milestone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Task &amp; Deliverables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Hours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Hourly Rate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Amount</w:t>
            </w:r>
          </w:p>
        </w:tc>
      </w:tr>
      <w:tr>
        <w:tc>
          <w:tcPr>
            <w:tcW w:w="1872" w:type="dxa"/>
          </w:tcPr>
          <w:p>
            <w:r>
              <w:t xml:space="preserve">Oct 01 - Oct 07</w:t>
            </w:r>
          </w:p>
        </w:tc>
        <w:tc>
          <w:tcPr>
            <w:tcW w:w="1872" w:type="dxa"/>
          </w:tcPr>
          <w:p>
            <w:r>
              <w:t xml:space="preserve">Sprint 1: React 19 Frontend Refactor</w:t>
            </w:r>
          </w:p>
        </w:tc>
        <w:tc>
          <w:tcPr>
            <w:tcW w:w="1872" w:type="dxa"/>
          </w:tcPr>
          <w:p>
            <w:r>
              <w:t xml:space="preserve">25</w:t>
            </w:r>
          </w:p>
        </w:tc>
        <w:tc>
          <w:tcPr>
            <w:tcW w:w="1872" w:type="dxa"/>
          </w:tcPr>
          <w:p>
            <w:r>
              <w:t xml:space="preserve">$95.00</w:t>
            </w:r>
          </w:p>
        </w:tc>
        <w:tc>
          <w:tcPr>
            <w:tcW w:w="1872" w:type="dxa"/>
          </w:tcPr>
          <w:p>
            <w:r>
              <w:t xml:space="preserve">$2,375.00</w:t>
            </w:r>
          </w:p>
        </w:tc>
      </w:tr>
      <w:tr>
        <w:tc>
          <w:tcPr>
            <w:tcW w:w="1872" w:type="dxa"/>
          </w:tcPr>
          <w:p>
            <w:r>
              <w:t xml:space="preserve">Oct 08 - Oct 14</w:t>
            </w:r>
          </w:p>
        </w:tc>
        <w:tc>
          <w:tcPr>
            <w:tcW w:w="1872" w:type="dxa"/>
          </w:tcPr>
          <w:p>
            <w:r>
              <w:t xml:space="preserve">Sprint 2: WebSockets Realtime State &amp; Caching</w:t>
            </w:r>
          </w:p>
        </w:tc>
        <w:tc>
          <w:tcPr>
            <w:tcW w:w="1872" w:type="dxa"/>
          </w:tcPr>
          <w:p>
            <w:r>
              <w:t xml:space="preserve">22</w:t>
            </w:r>
          </w:p>
        </w:tc>
        <w:tc>
          <w:tcPr>
            <w:tcW w:w="1872" w:type="dxa"/>
          </w:tcPr>
          <w:p>
            <w:r>
              <w:t xml:space="preserve">$95.00</w:t>
            </w:r>
          </w:p>
        </w:tc>
        <w:tc>
          <w:tcPr>
            <w:tcW w:w="1872" w:type="dxa"/>
          </w:tcPr>
          <w:p>
            <w:r>
              <w:t xml:space="preserve">$2,090.00</w:t>
            </w:r>
          </w:p>
        </w:tc>
      </w:tr>
      <w:tr>
        <w:tc>
          <w:tcPr>
            <w:tcW w:w="1872" w:type="dxa"/>
          </w:tcPr>
          <w:p>
            <w:r>
              <w:t xml:space="preserve">Oct 15 - Oct 20</w:t>
            </w:r>
          </w:p>
        </w:tc>
        <w:tc>
          <w:tcPr>
            <w:tcW w:w="1872" w:type="dxa"/>
          </w:tcPr>
          <w:p>
            <w:r>
              <w:t xml:space="preserve">Sprint 3: Automated E2E Test Suite &amp; CI/CD</w:t>
            </w:r>
          </w:p>
        </w:tc>
        <w:tc>
          <w:tcPr>
            <w:tcW w:w="1872" w:type="dxa"/>
          </w:tcPr>
          <w:p>
            <w:r>
              <w:t xml:space="preserve">18</w:t>
            </w:r>
          </w:p>
        </w:tc>
        <w:tc>
          <w:tcPr>
            <w:tcW w:w="1872" w:type="dxa"/>
          </w:tcPr>
          <w:p>
            <w:r>
              <w:t xml:space="preserve">$95.00</w:t>
            </w:r>
          </w:p>
        </w:tc>
        <w:tc>
          <w:tcPr>
            <w:tcW w:w="1872" w:type="dxa"/>
          </w:tcPr>
          <w:p>
            <w:r>
              <w:t xml:space="preserve">$1,710.00</w:t>
            </w:r>
          </w:p>
        </w:tc>
      </w:tr>
      <w:tr>
        <w:tc>
          <w:tcPr>
            <w:tcW w:w="1872" w:type="dxa"/>
          </w:tcPr>
          <w:p>
            <w:r>
              <w:t xml:space="preserve">Milestone Bonus</w:t>
            </w:r>
          </w:p>
        </w:tc>
        <w:tc>
          <w:tcPr>
            <w:tcW w:w="1872" w:type="dxa"/>
          </w:tcPr>
          <w:p>
            <w:r>
              <w:t xml:space="preserve">Zero-Downtime Deployment Achievement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$500.00</w:t>
            </w:r>
          </w:p>
        </w:tc>
        <w:tc>
          <w:tcPr>
            <w:tcW w:w="1872" w:type="dxa"/>
          </w:tcPr>
          <w:p>
            <w:r>
              <w:t xml:space="preserve">$500.00</w:t>
            </w:r>
          </w:p>
        </w:tc>
      </w:tr>
    </w:tbl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Payment Summary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Hours Logged:</w:t>
      </w:r>
      <w:r>
        <w:t xml:space="preserve"> 65.0 hrs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Subtotal:</w:t>
      </w:r>
      <w:r>
        <w:t xml:space="preserve"> $6,675.00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Early Payment Discount (2%):</w:t>
      </w:r>
      <w:r>
        <w:t xml:space="preserve"> -$133.50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Payable:</w:t>
      </w:r>
      <w:r>
        <w:t xml:space="preserve"> </w:t>
      </w:r>
      <w:r>
        <w:rPr>
          <w:b/>
          <w:bCs/>
        </w:rPr>
        <w:t xml:space="preserve">$6,541.50 USD</w:t>
      </w:r>
    </w:p>
    <w:p>
      <w:pPr>
        <w:pStyle w:val="Heading3"/>
      </w:pPr>
      <w:r>
        <w:t xml:space="preserve">Payment Options: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Direct ACH / Wire:</w:t>
      </w:r>
      <w:r>
        <w:t xml:space="preserve"> JPMorgan Chase Bank | Routing: 021000021 | Acct: 541098273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Stripe / Card Link:</w:t>
      </w:r>
      <w:r>
        <w:t xml:space="preserve"> </w:t>
      </w:r>
      <w:hyperlink r:id="rId5">
        <w:r>
          <w:rPr>
            <w:rStyle w:val="Hyperlink"/>
          </w:rPr>
          <w:t xml:space="preserve">https://pay.mercer-consulting.io/inv-104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PayPal:</w:t>
      </w:r>
      <w:r>
        <w:t xml:space="preserve"> </w:t>
      </w:r>
      <w:hyperlink r:id="rId6">
        <w:r>
          <w:rPr>
            <w:rStyle w:val="Hyperlink"/>
          </w:rPr>
          <w:t xml:space="preserve">payments@alexmercer.dev</w:t>
        </w:r>
      </w:hyperlink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mailto:alex.mercer.consulting@gmail.com" TargetMode="External"/><Relationship Id="rId4" Type="http://schemas.openxmlformats.org/officeDocument/2006/relationships/hyperlink" Target="mailto:sjenkins@nextwavedigital.io" TargetMode="External"/><Relationship Id="rId5" Type="http://schemas.openxmlformats.org/officeDocument/2006/relationships/hyperlink" Target="https://pay.mercer-consulting.io/inv-104" TargetMode="External"/><Relationship Id="rId6" Type="http://schemas.openxmlformats.org/officeDocument/2006/relationships/hyperlink" Target="mailto:payments@alexmercer.dev" TargetMode="External"/></Relationships>
</file>