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Heading1"/>
      </w:pPr>
      <w:r>
        <w:t xml:space="preserve">PROJECT SCOPE OF WORK (SOW)</w:t>
      </w:r>
    </w:p>
    <w:p>
      <w:r>
        <w:rPr>
          <w:b/>
          <w:bCs/>
        </w:rPr>
        <w:t xml:space="preserve">SOW Reference:</w:t>
      </w:r>
      <w:r>
        <w:t xml:space="preserve"> SOW-2026-DEV-042</w:t>
      </w:r>
      <w:r>
        <w:br/>
      </w:r>
      <w:r>
        <w:rPr>
          <w:b/>
          <w:bCs/>
        </w:rPr>
        <w:t xml:space="preserve">Project Name:</w:t>
      </w:r>
      <w:r>
        <w:t xml:space="preserve"> Enterprise Cloud Portal &amp; Microservices Modernization</w:t>
      </w:r>
      <w:r>
        <w:br/>
      </w:r>
      <w:r>
        <w:rPr>
          <w:b/>
          <w:bCs/>
        </w:rPr>
        <w:t xml:space="preserve">Service Provider:</w:t>
      </w:r>
      <w:r>
        <w:t xml:space="preserve"> DigiBiz Software Engineering Labs</w:t>
      </w:r>
      <w:r>
        <w:br/>
      </w:r>
      <w:r>
        <w:rPr>
          <w:b/>
          <w:bCs/>
        </w:rPr>
        <w:t xml:space="preserve">Client:</w:t>
      </w:r>
      <w:r>
        <w:t xml:space="preserve"> OmniRetail Logistics Group</w:t>
      </w:r>
      <w:r>
        <w:br/>
      </w:r>
      <w:r>
        <w:rPr>
          <w:b/>
          <w:bCs/>
        </w:rPr>
        <w:t xml:space="preserve">Effective Date:</w:t>
      </w:r>
      <w:r>
        <w:t xml:space="preserve"> October 21, 2026  </w:t>
      </w:r>
    </w:p>
    <w:p>
      <w:pPr>
        <w:pBdr>
          <w:bottom w:val="single" w:sz="4" w:space="0" w:color="auto"/>
        </w:pBdr>
        <w:ind w:left="0"/>
      </w:pPr>
    </w:p>
    <w:p>
      <w:pPr>
        <w:pStyle w:val="Heading2"/>
      </w:pPr>
      <w:r>
        <w:t xml:space="preserve">1. Project Overview &amp; Objectives</w:t>
      </w:r>
    </w:p>
    <w:p>
      <w:r>
        <w:t xml:space="preserve">This Scope of Work defines the specific engineering deliverables, responsibilities, and acceptance criteria for migrating OmniRetail's legacy inventory management systems to a modern, decoupled cloud microservices architecture.</w:t>
      </w:r>
    </w:p>
    <w:p>
      <w:pPr>
        <w:pBdr>
          <w:bottom w:val="single" w:sz="4" w:space="0" w:color="auto"/>
        </w:pBdr>
        <w:ind w:left="0"/>
      </w:pPr>
    </w:p>
    <w:p>
      <w:pPr>
        <w:pStyle w:val="Heading2"/>
      </w:pPr>
      <w:r>
        <w:t xml:space="preserve">2. In-Scope Deliverables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Deliverable 1 — Architecture Blueprint:</w:t>
      </w:r>
      <w:r>
        <w:t xml:space="preserve"> Complete system specification, database ERD schema, and OpenAPI 3.1 endpoints.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Deliverable 2 — High-Performance API Gateway:</w:t>
      </w:r>
      <w:r>
        <w:t xml:space="preserve"> Authentication, rate limiting, and event-driven message queuing.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Deliverable 3 — React Dashboard Frontend:</w:t>
      </w:r>
      <w:r>
        <w:t xml:space="preserve"> Responsive, accessible web portal matching enterprise design tokens.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Deliverable 4 — Automated Testing &amp; CI/CD Pipeline:</w:t>
      </w:r>
      <w:r>
        <w:t xml:space="preserve"> Unit tests (&gt;85% code coverage) and GitHub Actions deploy scripts.</w:t>
      </w:r>
    </w:p>
    <w:p>
      <w:pPr>
        <w:pBdr>
          <w:bottom w:val="single" w:sz="4" w:space="0" w:color="auto"/>
        </w:pBdr>
        <w:ind w:left="0"/>
      </w:pPr>
    </w:p>
    <w:p>
      <w:pPr>
        <w:pStyle w:val="Heading2"/>
      </w:pPr>
      <w:r>
        <w:t xml:space="preserve">3. Explicitly Out-of-Scope</w:t>
      </w:r>
    </w:p>
    <w:p>
      <w:pPr>
        <w:pStyle w:val="ListParagraph"/>
        <w:numPr>
          <w:ilvl w:val="0"/>
          <w:numId w:val="1"/>
        </w:numPr>
      </w:pPr>
      <w:r>
        <w:t xml:space="preserve">Legacy hardware decommission and physical data center disposal.</w:t>
      </w:r>
    </w:p>
    <w:p>
      <w:pPr>
        <w:pStyle w:val="ListParagraph"/>
        <w:numPr>
          <w:ilvl w:val="0"/>
          <w:numId w:val="1"/>
        </w:numPr>
      </w:pPr>
      <w:r>
        <w:t xml:space="preserve">Third-party ERP licensing fees (client directly pays Oracle/SAP).</w:t>
      </w:r>
    </w:p>
    <w:p>
      <w:pPr>
        <w:pStyle w:val="ListParagraph"/>
        <w:numPr>
          <w:ilvl w:val="0"/>
          <w:numId w:val="1"/>
        </w:numPr>
      </w:pPr>
      <w:r>
        <w:t xml:space="preserve">Mobile application development for iOS/Android (reserved for Phase 2).</w:t>
      </w:r>
    </w:p>
    <w:p>
      <w:pPr>
        <w:pBdr>
          <w:bottom w:val="single" w:sz="4" w:space="0" w:color="auto"/>
        </w:pBdr>
        <w:ind w:left="0"/>
      </w:pPr>
    </w:p>
    <w:p>
      <w:pPr>
        <w:pStyle w:val="Heading2"/>
      </w:pPr>
      <w:r>
        <w:t xml:space="preserve">4. Acceptance Criteria &amp; Sign-Off</w:t>
      </w:r>
    </w:p>
    <w:p>
      <w:r>
        <w:t xml:space="preserve">Deliverables shall be subject to a 10-business-day client review period. If no written notice of defect is submitted, the deliverable is deemed accepted.</w:t>
      </w:r>
    </w:p>
    <w:p>
      <w:r>
        <w:rPr>
          <w:b/>
          <w:bCs/>
        </w:rPr>
        <w:t xml:space="preserve">Authorized By Client:</w:t>
      </w:r>
      <w:r>
        <w:t xml:space="preserve"> _________________________ Date: ______________</w:t>
      </w:r>
      <w:r>
        <w:br/>
      </w:r>
      <w:r>
        <w:rPr>
          <w:b/>
          <w:bCs/>
        </w:rPr>
        <w:t xml:space="preserve">Authorized By Provider:</w:t>
      </w:r>
      <w:r>
        <w:t xml:space="preserve"> _______________________ Date: ______________  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keepNext/>
      <w:spacing w:before="240" w:after="1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160" w:after="120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160" w:after="12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spacing w:before="160" w:after="12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spacing w:before="160" w:after="120"/>
      <w:outlineLvl w:val="5"/>
    </w:pPr>
    <w:rPr>
      <w:b/>
      <w:sz w:val="22"/>
      <w:szCs w:val="22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after="160"/>
    </w:pPr>
    <w:rPr>
      <w:color w:val="595959" w:themeColor="text1" w:themeTint="A6"/>
      <w:spacing w:val="15"/>
      <w:sz w:val="28"/>
      <w:szCs w:val="28"/>
    </w:rPr>
  </w:style>
  <w:style w:type="character" w:styleId="SubtleEmphasis">
    <w:name w:val="Subtle Emphasis"/>
    <w:uiPriority w:val="19"/>
    <w:qFormat/>
    <w:rPr>
      <w:i/>
      <w:iCs/>
      <w:color w:val="404040" w:themeColor="text1" w:themeTint="BF"/>
    </w:rPr>
  </w:style>
  <w:style w:type="character" w:styleId="Emphasis">
    <w:name w:val="Emphasis"/>
    <w:uiPriority w:val="20"/>
    <w:qFormat/>
    <w:rPr>
      <w:i/>
      <w:iCs/>
    </w:rPr>
  </w:style>
  <w:style w:type="character" w:styleId="IntenseEmphasis">
    <w:name w:val="Intense Emphasis"/>
    <w:uiPriority w:val="21"/>
    <w:qFormat/>
    <w:rPr>
      <w:i/>
      <w:iCs/>
      <w:color w:val="2F5496" w:themeColor="accent1" w:themeShade="BF"/>
    </w:rPr>
  </w:style>
  <w:style w:type="character" w:styleId="Strong">
    <w:name w:val="Strong"/>
    <w:uiPriority w:val="22"/>
    <w:qFormat/>
    <w:rPr>
      <w:b/>
      <w:bCs/>
    </w:rPr>
  </w:style>
  <w:style w:type="paragraph" w:styleId="Quote">
    <w:name w:val="Quote"/>
    <w:basedOn w:val="Normal"/>
    <w:next w:val="Normal"/>
    <w:uiPriority w:val="29"/>
    <w:qFormat/>
    <w:pPr>
      <w:spacing w:before="200" w:after="480"/>
      <w:jc w:val="center"/>
    </w:pPr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440"/>
      <w:ind w:left="864" w:right="864"/>
      <w:jc w:val="center"/>
    </w:pPr>
    <w:rPr>
      <w:i/>
      <w:iCs/>
      <w:color w:val="2F5496" w:themeColor="accent1" w:themeShade="BF"/>
    </w:rPr>
  </w:style>
  <w:style w:type="character" w:styleId="SubtleReference">
    <w:name w:val="Subtle Reference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uiPriority w:val="32"/>
    <w:qFormat/>
    <w:rPr>
      <w:b/>
      <w:bCs/>
      <w:smallCaps/>
      <w:color w:val="2F5496" w:themeColor="accent1" w:themeShade="BF"/>
      <w:spacing w:val="5"/>
    </w:rPr>
  </w:style>
  <w:style w:type="character" w:styleId="BookTitle">
    <w:name w:val="Book Title"/>
    <w:uiPriority w:val="33"/>
    <w:qFormat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next w:val="Normal"/>
    <w:pPr>
      <w:spacing w:after="100"/>
    </w:pPr>
  </w:style>
  <w:style w:type="paragraph" w:styleId="TOC2">
    <w:name w:val="toc 2"/>
    <w:basedOn w:val="Normal"/>
    <w:next w:val="Normal"/>
    <w:pPr>
      <w:spacing w:after="100"/>
      <w:ind w:left="220"/>
    </w:pPr>
  </w:style>
  <w:style w:type="paragraph" w:styleId="TOC3">
    <w:name w:val="toc 3"/>
    <w:basedOn w:val="Normal"/>
    <w:next w:val="Normal"/>
    <w:pPr>
      <w:spacing w:after="100"/>
      <w:ind w:left="440"/>
    </w:pPr>
  </w:style>
  <w:style w:type="paragraph" w:styleId="TOC4">
    <w:name w:val="toc 4"/>
    <w:basedOn w:val="Normal"/>
    <w:next w:val="Normal"/>
    <w:pPr>
      <w:spacing w:after="100"/>
      <w:ind w:left="660"/>
    </w:pPr>
  </w:style>
  <w:style w:type="paragraph" w:styleId="TOC5">
    <w:name w:val="toc 5"/>
    <w:basedOn w:val="Normal"/>
    <w:next w:val="Normal"/>
    <w:pPr>
      <w:spacing w:after="100"/>
      <w:ind w:left="880"/>
    </w:pPr>
  </w:style>
  <w:style w:type="paragraph" w:styleId="TOC6">
    <w:name w:val="toc 6"/>
    <w:basedOn w:val="Normal"/>
    <w:next w:val="Normal"/>
    <w:pPr>
      <w:spacing w:after="100"/>
      <w:ind w:left="1100"/>
    </w:pPr>
  </w:style>
  <w:style w:type="paragraph" w:styleId="TOC7">
    <w:name w:val="toc 7"/>
    <w:basedOn w:val="Normal"/>
    <w:next w:val="Normal"/>
    <w:pPr>
      <w:spacing w:after="100"/>
      <w:ind w:left="1320"/>
    </w:pPr>
  </w:style>
  <w:style w:type="paragraph" w:styleId="TOC8">
    <w:name w:val="toc 8"/>
    <w:basedOn w:val="Normal"/>
    <w:next w:val="Normal"/>
    <w:pPr>
      <w:spacing w:after="100"/>
      <w:ind w:left="1540"/>
    </w:pPr>
  </w:style>
  <w:style w:type="paragraph" w:styleId="TOC9">
    <w:name w:val="toc 9"/>
    <w:basedOn w:val="Normal"/>
    <w:next w:val="Normal"/>
    <w:pPr>
      <w:spacing w:after="100"/>
      <w:ind w:left="1760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