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before="20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40"/>
          <w:szCs w:val="40"/>
          <w:rtl/>
        </w:rPr>
        <w:t xml:space="preserve">نمودار تفصیلی جریان داده حساس</w:t>
      </w:r>
    </w:p>
    <w:p>
      <w:pPr>
        <w:pBdr>
          <w:bottom w:val="single" w:color="1F3864" w:sz="8" w:space="8"/>
        </w:pBdr>
        <w:bidi/>
        <w:spacing w:after="3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55555"/>
          <w:sz w:val="22"/>
          <w:szCs w:val="22"/>
          <w:rtl/>
        </w:rPr>
        <w:t xml:space="preserve">فرآیند خواندن کارت مغناطیسی و تأیید دارنده کارت — اپلیکیشن androidpospayment نسخه ۰۲.۰۲.۰۱</w:t>
      </w:r>
    </w:p>
    <w:p>
      <w:pPr>
        <w:pStyle w:val="Heading2"/>
        <w:bidi/>
        <w:spacing w:after="140" w:before="28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26"/>
          <w:szCs w:val="26"/>
          <w:rtl/>
        </w:rPr>
        <w:t xml:space="preserve">۱. دامنه سند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این سند مکمل سند «معماری فنی و DFD جریان داده حساس» است و جریان داده را در دو فرآیند بحرانی با جزئیات بیشتر تشریح می‌کند: خواندن ابزار پرداخت و تأیید دارنده کارت. تمرکز سند بر مسیر اقلام داده بحرانی شامل رمز کارت، داده کارت و کلید رمزنگاری است.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قلم</w:t>
            </w:r>
          </w:p>
        </w:tc>
        <w:tc>
          <w:tcPr>
            <w:tcW w:type="dxa" w:w="59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مقدار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اپلیکیشن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androidpospayment — ir.sadadpsp.apos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نسخه</w:t>
            </w:r>
          </w:p>
        </w:tc>
        <w:tc>
          <w:tcPr>
            <w:tcW w:type="dxa" w:w="59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۰۲.۰۲.۰۱ — کد نسخه ۲۰۲۰۱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دستگاه هدف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Kozen D300 / P10 — Android 11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ابزار پذیرش موضوع این سند</w:t>
            </w:r>
          </w:p>
        </w:tc>
        <w:tc>
          <w:tcPr>
            <w:tcW w:type="dxa" w:w="59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کارت مغناطیسی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تراکنش‌های پوشش‌داده‌شده</w:t>
            </w:r>
          </w:p>
        </w:tc>
        <w:tc>
          <w:tcPr>
            <w:tcW w:type="dxa" w:w="59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خرید و مانده‌گیری</w:t>
            </w:r>
          </w:p>
        </w:tc>
      </w:tr>
      <w:tr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تاریخ تهیه</w:t>
            </w:r>
          </w:p>
        </w:tc>
        <w:tc>
          <w:tcPr>
            <w:tcW w:type="dxa" w:w="59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.............................</w:t>
            </w:r>
          </w:p>
        </w:tc>
      </w:tr>
    </w:tbl>
    <w:p>
      <w:pPr>
        <w:spacing w:after="160"/>
      </w:pPr>
    </w:p>
    <w:p>
      <w:pPr>
        <w:pStyle w:val="Heading3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3"/>
          <w:szCs w:val="23"/>
          <w:rtl/>
        </w:rPr>
        <w:t xml:space="preserve">۱.۱ محدوده و اصل حاکم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دامنه این سند به تراکنش‌های کارت مغناطیسی محدود است. در این ابزار پذیرش، تأیید دارنده کارت با رمز آنلاین الزامی است و امکان تأیید به روش‌های دیگر وجود ندارد.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اصل حاکم بر معماری: رمز کارت به‌صورت خام در هیچ مرحله‌ای از عنصر امن دستگاه خارج نمی‌شود و به حافظه فرآیند اپلیکیشن وارد نمی‌گردد. تنها خروجی این ناحیه، بلوک رمز رمزشده است. به همین ترتیب، مقدار هیچ کلید رمزنگاری توسط اپلیکیشن خوانده نمی‌شود و کلیه عملیات رمزنگاری درون عنصر امن انجام می‌گیرد.</w:t>
      </w:r>
    </w:p>
    <w:p>
      <w:pPr>
        <w:pStyle w:val="Heading2"/>
        <w:bidi/>
        <w:spacing w:after="140" w:before="28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26"/>
          <w:szCs w:val="26"/>
          <w:rtl/>
        </w:rPr>
        <w:t xml:space="preserve">۲. نواحی اعتماد و جریان کارت تا بلوک رمز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نمودار زیر ناحیه اعتماد عنصر امن دستگاه و ترتیب اجرای گام‌های ① تا ⑥ را نشان می‌دهد.</w:t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885825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نمودار ۱-الف — ناحیه اعتماد A: خواندن کارت مغناطیسی و رمزنگاری رمز کارت</w:t>
      </w:r>
    </w:p>
    <w:p>
      <w:pPr>
        <w:sectPr>
          <w:footerReference w:type="default" r:id="rId8"/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3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3"/>
          <w:szCs w:val="23"/>
          <w:rtl/>
        </w:rPr>
        <w:t xml:space="preserve">۲.۱ ناحیه اعتماد B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پس از عبور از مرز TB-1، تنها داده رمزشده در اختیار فرآیند اپلیکیشن قرار می‌گیرد.</w:t>
      </w:r>
    </w:p>
    <w:p>
      <w:pPr>
        <w:sectPr>
          <w:footerReference w:type="default" r:id="rId9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885825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نمودار ۱-ب — مرز اعتماد TB-1 و ناحیه اعتماد B: ساخت پیام در فرآیند اپلیکیشن</w:t>
      </w:r>
    </w:p>
    <w:p>
      <w:pPr>
        <w:sectPr>
          <w:footerReference w:type="default" r:id="rId10"/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3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3"/>
          <w:szCs w:val="23"/>
          <w:rtl/>
        </w:rPr>
        <w:t xml:space="preserve">۲.۲ شرح گام‌ها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360"/>
      </w:tblGrid>
      <w:tr>
        <w:trPr>
          <w:tblHeader/>
        </w:trPr>
        <w:tc>
          <w:tcPr>
            <w:tcW w:type="dxa" w:w="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گام</w:t>
            </w:r>
          </w:p>
        </w:tc>
        <w:tc>
          <w:tcPr>
            <w:tcW w:type="dxa" w:w="11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ناحیه</w:t>
            </w:r>
          </w:p>
        </w:tc>
        <w:tc>
          <w:tcPr>
            <w:tcW w:type="dxa" w:w="73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عنوان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①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A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ارائه ابزار پرداخت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②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A</w:t>
            </w:r>
          </w:p>
        </w:tc>
        <w:tc>
          <w:tcPr>
            <w:tcW w:type="dxa" w:w="7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خواندن کارت در عنصر امن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③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A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استخراج داده کارت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④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A</w:t>
            </w:r>
          </w:p>
        </w:tc>
        <w:tc>
          <w:tcPr>
            <w:tcW w:type="dxa" w:w="7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ورود رمز کارت روی صفحه‌کلید امن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⑤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A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رمزنگاری رمز و تولید بلوک رمز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⑥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A</w:t>
            </w:r>
          </w:p>
        </w:tc>
        <w:tc>
          <w:tcPr>
            <w:tcW w:type="dxa" w:w="7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امضای پیام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⑦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B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تشکیل پارامتر تراکنش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⑧</w:t>
            </w:r>
          </w:p>
        </w:tc>
        <w:tc>
          <w:tcPr>
            <w:tcW w:type="dxa" w:w="1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B</w:t>
            </w:r>
          </w:p>
        </w:tc>
        <w:tc>
          <w:tcPr>
            <w:tcW w:type="dxa" w:w="7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آماده‌سازی و شماره‌گذاری تراکنش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⑨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B</w:t>
            </w:r>
          </w:p>
        </w:tc>
        <w:tc>
          <w:tcPr>
            <w:tcW w:type="dxa" w:w="7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ساخت پیام</w:t>
            </w:r>
          </w:p>
        </w:tc>
      </w:tr>
    </w:tbl>
    <w:p>
      <w:pPr>
        <w:spacing w:after="16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شماره کارت ماسک‌شده پس از ساخت پیام و برای نمایش به پذیرنده و ثبت در حافظه پایدار تولید می‌شود. شماره کارت کامل تنها در حافظه فرار پردازش می‌گردد.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26"/>
          <w:szCs w:val="26"/>
          <w:rtl/>
        </w:rPr>
        <w:t xml:space="preserve">۳. جریان تأیید دارنده کارت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در تراکنش کارت مغناطیسی، تأیید دارنده کارت با رمز آنلاین در هر دو نوع تراکنش خرید و مانده‌گیری الزامی است. نمودار زیر این جریان را نشان می‌دهد.</w:t>
      </w:r>
    </w:p>
    <w:p>
      <w:pPr>
        <w:sectPr>
          <w:footerReference w:type="default" r:id="rId11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8858250" cy="480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نمودار ۲ — جریان تأیید دارنده کارت در تراکنش کارت مغناطیسی</w:t>
      </w:r>
    </w:p>
    <w:p>
      <w:pPr>
        <w:sectPr>
          <w:footerReference w:type="default" r:id="rId12"/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3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3"/>
          <w:szCs w:val="23"/>
          <w:rtl/>
        </w:rPr>
        <w:t xml:space="preserve">۳.۱ اقلام درج‌شده در پیام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3800"/>
        <w:gridCol w:w="1200"/>
      </w:tblGrid>
      <w:tr>
        <w:trPr>
          <w:tblHeader/>
        </w:trPr>
        <w:tc>
          <w:tcPr>
            <w:tcW w:type="dxa" w:w="43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قلم</w:t>
            </w:r>
          </w:p>
        </w:tc>
        <w:tc>
          <w:tcPr>
            <w:tcW w:type="dxa" w:w="38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وضعیت</w:t>
            </w:r>
          </w:p>
        </w:tc>
        <w:tc>
          <w:tcPr>
            <w:tcW w:type="dxa" w:w="12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کلاس</w:t>
            </w:r>
          </w:p>
        </w:tc>
      </w:tr>
      <w:tr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داده کارت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الزامی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C1</w:t>
            </w:r>
          </w:p>
        </w:tc>
      </w:tr>
      <w:tr>
        <w:tc>
          <w:tcPr>
            <w:tcW w:type="dxa" w:w="4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بلوک رمز کارت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الزامی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C1</w:t>
            </w:r>
          </w:p>
        </w:tc>
      </w:tr>
      <w:tr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امضای پیام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الزامی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4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مبلغ تراکنش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در تراکنش خرید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C3</w:t>
            </w:r>
          </w:p>
        </w:tc>
      </w:tr>
      <w:tr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شناسه ترمینال و پذیرنده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الزامی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C3</w:t>
            </w:r>
          </w:p>
        </w:tc>
      </w:tr>
    </w:tbl>
    <w:p>
      <w:pPr>
        <w:spacing w:after="160"/>
      </w:pPr>
    </w:p>
    <w:p>
      <w:pPr>
        <w:pStyle w:val="Heading3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3"/>
          <w:szCs w:val="23"/>
          <w:rtl/>
        </w:rPr>
        <w:t xml:space="preserve">۳.۲ تفکیک بر حسب نوع تراکنش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نوع تراکنش</w:t>
            </w:r>
          </w:p>
        </w:tc>
        <w:tc>
          <w:tcPr>
            <w:tcW w:type="dxa" w:w="43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مبلغ</w:t>
            </w:r>
          </w:p>
        </w:tc>
        <w:tc>
          <w:tcPr>
            <w:tcW w:type="dxa" w:w="2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رمز آنلاین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خرید</w:t>
            </w:r>
          </w:p>
        </w:tc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از پذیرنده دریافت می‌شود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الزامی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مانده‌گیری</w:t>
            </w:r>
          </w:p>
        </w:tc>
        <w:tc>
          <w:tcPr>
            <w:tcW w:type="dxa" w:w="4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بدون مبلغ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الزامی</w:t>
            </w:r>
          </w:p>
        </w:tc>
      </w:tr>
    </w:tbl>
    <w:p>
      <w:pPr>
        <w:spacing w:after="16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6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30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9"/>
                <w:szCs w:val="19"/>
                <w:rtl/>
              </w:rPr>
              <w:t xml:space="preserve">قاعده کنترلی: در تراکنش کارت مغناطیسی، نبود بلوک رمز در پیام موجب رد تراکنش نزد صادرکننده می‌شود. این کنترل در مسیر پردازش پیام اعمال شده است.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26"/>
          <w:szCs w:val="26"/>
          <w:rtl/>
        </w:rPr>
        <w:t xml:space="preserve">۴. نمودار توالی تراکنش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توالی زمانی تبادل پیام میان پنج بازیگر فرآیند در شش فاز و در دو نمودار پیوسته ارائه شده است. فلش‌های بازگشتی به خود بازیگر، عملیات درونی همان ناحیه را نشان می‌دهند.</w:t>
      </w:r>
    </w:p>
    <w:p>
      <w:pPr>
        <w:pStyle w:val="Heading3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3"/>
          <w:szCs w:val="23"/>
          <w:rtl/>
        </w:rPr>
        <w:t xml:space="preserve">۴.۱ فازهای ۱ تا ۳</w:t>
      </w:r>
    </w:p>
    <w:p>
      <w:pPr>
        <w:sectPr>
          <w:footerReference w:type="default" r:id="rId13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885825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نمودار ۳-الف — توالی فازهای ۱ تا ۳: ارائه کارت، خواندن کارت و تأیید دارنده کارت</w:t>
      </w:r>
    </w:p>
    <w:p>
      <w:pPr>
        <w:sectPr>
          <w:footerReference w:type="default" r:id="rId14"/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3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3"/>
          <w:szCs w:val="23"/>
          <w:rtl/>
        </w:rPr>
        <w:t xml:space="preserve">۴.۲ فازهای ۴ تا ۶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ادامه توالی، از ساخت و امضای پیام تا چاپ رسید، در نمودار زیر آمده است.</w:t>
      </w:r>
    </w:p>
    <w:p>
      <w:pPr>
        <w:sectPr>
          <w:footerReference w:type="default" r:id="rId15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8858250" cy="525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نمودار ۳-ب — توالی فازهای ۴ تا ۶: ساخت پیام، تبادل با سوییچ و چاپ رسید</w:t>
      </w:r>
    </w:p>
    <w:p>
      <w:pPr>
        <w:sectPr>
          <w:footerReference w:type="default" r:id="rId16"/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3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3"/>
          <w:szCs w:val="23"/>
          <w:rtl/>
        </w:rPr>
        <w:t xml:space="preserve">۴.۳ فازهای فرآیند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فاز</w:t>
            </w:r>
          </w:p>
        </w:tc>
        <w:tc>
          <w:tcPr>
            <w:tcW w:type="dxa" w:w="84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عنوان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۱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آماده‌سازی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۲</w:t>
            </w:r>
          </w:p>
        </w:tc>
        <w:tc>
          <w:tcPr>
            <w:tcW w:type="dxa" w:w="84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خواندن کارت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۳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تأیید دارنده کارت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۴</w:t>
            </w:r>
          </w:p>
        </w:tc>
        <w:tc>
          <w:tcPr>
            <w:tcW w:type="dxa" w:w="84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ساخت و امضای پیام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۵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تبادل با سوییچ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۶</w:t>
            </w:r>
          </w:p>
        </w:tc>
        <w:tc>
          <w:tcPr>
            <w:tcW w:type="dxa" w:w="84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نهایی‌سازی و چاپ رسید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26"/>
          <w:szCs w:val="26"/>
          <w:rtl/>
        </w:rPr>
        <w:t xml:space="preserve">۵. سلسله‌مراتب کلید و چرخه حیات داده حساس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بخش الف نمودار زیر رابطه کلید اصلی ترمینال با کلیدهای عملیاتی را نشان می‌دهد و بخش ب چرخه حیات هر قلم داده حساس را در پنج مرحله تشریح می‌کند.</w:t>
      </w:r>
    </w:p>
    <w:p>
      <w:pPr>
        <w:sectPr>
          <w:footerReference w:type="default" r:id="rId1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60" w:before="60"/>
        <w:jc w:val="center"/>
      </w:pPr>
      <w:r>
        <w:drawing>
          <wp:inline distT="0" distB="0" distL="0" distR="0">
            <wp:extent cx="8858250" cy="570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8"/>
          <w:szCs w:val="18"/>
          <w:rtl/>
        </w:rPr>
        <w:t xml:space="preserve">نمودار ۴ — سلسله‌مراتب کلید در عنصر امن و چرخه حیات اقلام داده حساس</w:t>
      </w:r>
    </w:p>
    <w:p>
      <w:pPr>
        <w:sectPr>
          <w:footerReference w:type="default" r:id="rId18"/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3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3"/>
          <w:szCs w:val="23"/>
          <w:rtl/>
        </w:rPr>
        <w:t xml:space="preserve">۵.۱ اصول حفاظت از کلید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5000"/>
      </w:tblGrid>
      <w:tr>
        <w:trPr>
          <w:tblHeader/>
        </w:trPr>
        <w:tc>
          <w:tcPr>
            <w:tcW w:type="dxa" w:w="43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موضوع</w:t>
            </w:r>
          </w:p>
        </w:tc>
        <w:tc>
          <w:tcPr>
            <w:tcW w:type="dxa" w:w="50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وضعیت</w:t>
            </w:r>
          </w:p>
        </w:tc>
      </w:tr>
      <w:tr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محل نگهداری کلید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عنصر امن دستگاه</w:t>
            </w:r>
          </w:p>
        </w:tc>
      </w:tr>
      <w:tr>
        <w:tc>
          <w:tcPr>
            <w:tcW w:type="dxa" w:w="4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نگهداری کلید در حافظه اپلیکیشن</w:t>
            </w:r>
          </w:p>
        </w:tc>
        <w:tc>
          <w:tcPr>
            <w:tcW w:type="dxa" w:w="5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انجام نمی‌شود</w:t>
            </w:r>
          </w:p>
        </w:tc>
      </w:tr>
      <w:tr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نگهداری کلید در پایگاه داده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انجام نمی‌شود</w:t>
            </w:r>
          </w:p>
        </w:tc>
      </w:tr>
      <w:tr>
        <w:tc>
          <w:tcPr>
            <w:tcW w:type="dxa" w:w="4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روش دسترسی</w:t>
            </w:r>
          </w:p>
        </w:tc>
        <w:tc>
          <w:tcPr>
            <w:tcW w:type="dxa" w:w="5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مقدار کلید توسط اپلیکیشن خوانده نمی‌شود</w:t>
            </w:r>
          </w:p>
        </w:tc>
      </w:tr>
      <w:tr>
        <w:tc>
          <w:tcPr>
            <w:tcW w:type="dxa" w:w="43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روش دریافت کلیدهای عملیاتی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فرآیند ورود به سیستم و تحت حفاظت کلید اصلی</w:t>
            </w:r>
          </w:p>
        </w:tc>
      </w:tr>
    </w:tbl>
    <w:p>
      <w:pPr>
        <w:pStyle w:val="Heading2"/>
        <w:bidi/>
        <w:spacing w:after="140" w:before="28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26"/>
          <w:szCs w:val="26"/>
          <w:rtl/>
        </w:rPr>
        <w:t xml:space="preserve">۶. کنترل‌های اعمال‌شده بر مرزهای اعتماد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60"/>
        <w:gridCol w:w="4800"/>
      </w:tblGrid>
      <w:tr>
        <w:trPr>
          <w:tblHeader/>
        </w:trPr>
        <w:tc>
          <w:tcPr>
            <w:tcW w:type="dxa" w:w="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مرز</w:t>
            </w:r>
          </w:p>
        </w:tc>
        <w:tc>
          <w:tcPr>
            <w:tcW w:type="dxa" w:w="366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محل</w:t>
            </w:r>
          </w:p>
        </w:tc>
        <w:tc>
          <w:tcPr>
            <w:tcW w:type="dxa" w:w="48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8"/>
                <w:szCs w:val="18"/>
                <w:rtl/>
              </w:rPr>
              <w:t xml:space="preserve">کنترل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TB-1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صفحه‌کلید امن و فرآیند اپلیکیشن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رمز خام عبور نمی‌کند؛ تنها بلوک رمزشده منتقل می‌شود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TB-2</w:t>
            </w:r>
          </w:p>
        </w:tc>
        <w:tc>
          <w:tcPr>
            <w:tcW w:type="dxa" w:w="3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فرآیند اپلیکیشن و عنصر امن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مقدار کلید توسط اپلیکیشن خوانده نمی‌شود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TB-3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فرآیند اپلیکیشن و حافظه پایدار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رمزنگاری پایگاه داده و ثبت تنها اقلام مجاز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TB-4</w:t>
            </w:r>
          </w:p>
        </w:tc>
        <w:tc>
          <w:tcPr>
            <w:tcW w:type="dxa" w:w="36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ترمینال و سوییچ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60"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  <w:rtl/>
              </w:rPr>
              <w:t xml:space="preserve">امضای پیام برای یکپارچگی و بلوک رمزشده برای محرمانگی رمز</w:t>
            </w:r>
          </w:p>
        </w:tc>
      </w:tr>
    </w:tbl>
    <w:p>
      <w:pPr>
        <w:spacing w:after="160"/>
      </w:pPr>
    </w:p>
    <w:p>
      <w:pPr>
        <w:pStyle w:val="Heading3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3"/>
          <w:szCs w:val="23"/>
          <w:rtl/>
        </w:rPr>
        <w:t xml:space="preserve">۶.۱ اقلامی که در حافظه پایدار ثبت نمی‌شوند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رمز کارت به‌صورت خام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بلوک رمز کارت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داده کامل کارت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مقدار کلیدهای رمزنگاری</w:t>
      </w:r>
    </w:p>
    <w:p>
      <w:pPr>
        <w:spacing w:after="120"/>
      </w:pPr>
    </w:p>
    <w:p>
      <w:pPr>
        <w:pStyle w:val="Heading3"/>
        <w:bidi/>
        <w:spacing w:after="120" w:before="22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3"/>
          <w:szCs w:val="23"/>
          <w:rtl/>
        </w:rPr>
        <w:t xml:space="preserve">۶.۲ اقلامی که بر رسید چاپ نمی‌شوند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رمز کارت و بلوک رمز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داده کارت و شماره کارت کامل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بر رسید تنها شماره کارت ماسک‌شده چاپ می‌گردد.</w:t>
      </w:r>
    </w:p>
    <w:p>
      <w:pPr>
        <w:spacing w:after="300"/>
      </w:pP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  <w:rtl/>
        </w:rPr>
        <w:t xml:space="preserve">تنظیم‌کننده: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.................................        </w:t>
      </w: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  <w:rtl/>
        </w:rPr>
        <w:t xml:space="preserve">سمت: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.................................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  <w:rtl/>
        </w:rPr>
        <w:t xml:space="preserve">تأیید مسئول امنیت اطلاعات: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.................................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  <w:rtl/>
        </w:rPr>
        <w:t xml:space="preserve">تأیید مدیر فنی: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.................................</w:t>
      </w:r>
    </w:p>
    <w:p>
      <w:pPr>
        <w:bidi/>
        <w:spacing w:after="120" w:line="300"/>
        <w:jc w:val="right"/>
      </w:pPr>
      <w:r>
        <w:rPr>
          <w:rFonts w:ascii="Tahoma" w:cs="Tahoma" w:eastAsia="Tahoma" w:hAnsi="Tahoma"/>
          <w:b/>
          <w:bCs/>
          <w:i w:val="false"/>
          <w:iCs w:val="false"/>
          <w:sz w:val="20"/>
          <w:szCs w:val="20"/>
          <w:rtl/>
        </w:rPr>
        <w:t xml:space="preserve">تاریخ: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  <w:rtl/>
        </w:rPr>
        <w:t xml:space="preserve">.................................</w:t>
      </w:r>
    </w:p>
    <w:sectPr>
      <w:footerReference w:type="default" r:id="rId1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777777"/>
        <w:sz w:val="16"/>
        <w:szCs w:val="16"/>
        <w:rtl/>
      </w:rPr>
      <w:t xml:space="preserve">نمودار تفصیلی جریان داده حساس — androidpospayment 02.02.01   |   صفحه </w:t>
    </w:r>
    <w:r>
      <w:rPr>
        <w:rFonts w:ascii="Tahoma" w:cs="Tahoma" w:eastAsia="Tahoma" w:hAnsi="Tahom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777777"/>
        <w:sz w:val="16"/>
        <w:szCs w:val="16"/>
        <w:rtl/>
      </w:rPr>
      <w:t xml:space="preserve">نمودار تفصیلی جریان داده حساس — androidpospayment 02.02.01   |   صفحه </w:t>
    </w:r>
    <w:r>
      <w:rPr>
        <w:rFonts w:ascii="Tahoma" w:cs="Tahoma" w:eastAsia="Tahoma" w:hAnsi="Tahom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777777"/>
        <w:sz w:val="16"/>
        <w:szCs w:val="16"/>
        <w:rtl/>
      </w:rPr>
      <w:t xml:space="preserve">نمودار تفصیلی جریان داده حساس — androidpospayment 02.02.01   |   صفحه </w:t>
    </w:r>
    <w:r>
      <w:rPr>
        <w:rFonts w:ascii="Tahoma" w:cs="Tahoma" w:eastAsia="Tahoma" w:hAnsi="Tahom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777777"/>
        <w:sz w:val="16"/>
        <w:szCs w:val="16"/>
        <w:rtl/>
      </w:rPr>
      <w:t xml:space="preserve">نمودار تفصیلی جریان داده حساس — androidpospayment 02.02.01   |   صفحه </w:t>
    </w:r>
    <w:r>
      <w:rPr>
        <w:rFonts w:ascii="Tahoma" w:cs="Tahoma" w:eastAsia="Tahoma" w:hAnsi="Tahom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777777"/>
        <w:sz w:val="16"/>
        <w:szCs w:val="16"/>
        <w:rtl/>
      </w:rPr>
      <w:t xml:space="preserve">نمودار تفصیلی جریان داده حساس — androidpospayment 02.02.01   |   صفحه </w:t>
    </w:r>
    <w:r>
      <w:rPr>
        <w:rFonts w:ascii="Tahoma" w:cs="Tahoma" w:eastAsia="Tahoma" w:hAnsi="Tahom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777777"/>
        <w:sz w:val="16"/>
        <w:szCs w:val="16"/>
        <w:rtl/>
      </w:rPr>
      <w:t xml:space="preserve">نمودار تفصیلی جریان داده حساس — androidpospayment 02.02.01   |   صفحه </w:t>
    </w:r>
    <w:r>
      <w:rPr>
        <w:rFonts w:ascii="Tahoma" w:cs="Tahoma" w:eastAsia="Tahoma" w:hAnsi="Tahom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777777"/>
        <w:sz w:val="16"/>
        <w:szCs w:val="16"/>
        <w:rtl/>
      </w:rPr>
      <w:t xml:space="preserve">نمودار تفصیلی جریان داده حساس — androidpospayment 02.02.01   |   صفحه </w:t>
    </w:r>
    <w:r>
      <w:rPr>
        <w:rFonts w:ascii="Tahoma" w:cs="Tahoma" w:eastAsia="Tahoma" w:hAnsi="Tahom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777777"/>
        <w:sz w:val="16"/>
        <w:szCs w:val="16"/>
        <w:rtl/>
      </w:rPr>
      <w:t xml:space="preserve">نمودار تفصیلی جریان داده حساس — androidpospayment 02.02.01   |   صفحه </w:t>
    </w:r>
    <w:r>
      <w:rPr>
        <w:rFonts w:ascii="Tahoma" w:cs="Tahoma" w:eastAsia="Tahoma" w:hAnsi="Tahom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777777"/>
        <w:sz w:val="16"/>
        <w:szCs w:val="16"/>
        <w:rtl/>
      </w:rPr>
      <w:t xml:space="preserve">نمودار تفصیلی جریان داده حساس — androidpospayment 02.02.01   |   صفحه </w:t>
    </w:r>
    <w:r>
      <w:rPr>
        <w:rFonts w:ascii="Tahoma" w:cs="Tahoma" w:eastAsia="Tahoma" w:hAnsi="Tahom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777777"/>
        <w:sz w:val="16"/>
        <w:szCs w:val="16"/>
        <w:rtl/>
      </w:rPr>
      <w:t xml:space="preserve">نمودار تفصیلی جریان داده حساس — androidpospayment 02.02.01   |   صفحه </w:t>
    </w:r>
    <w:r>
      <w:rPr>
        <w:rFonts w:ascii="Tahoma" w:cs="Tahoma" w:eastAsia="Tahoma" w:hAnsi="Tahom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777777"/>
        <w:sz w:val="16"/>
        <w:szCs w:val="16"/>
        <w:rtl/>
      </w:rPr>
      <w:t xml:space="preserve">نمودار تفصیلی جریان داده حساس — androidpospayment 02.02.01   |   صفحه </w:t>
    </w:r>
    <w:r>
      <w:rPr>
        <w:rFonts w:ascii="Tahoma" w:cs="Tahoma" w:eastAsia="Tahoma" w:hAnsi="Tahom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777777"/>
        <w:sz w:val="16"/>
        <w:szCs w:val="16"/>
        <w:rtl/>
      </w:rPr>
      <w:t xml:space="preserve">نمودار تفصیلی جریان داده حساس — androidpospayment 02.02.01   |   صفحه </w:t>
    </w:r>
    <w:r>
      <w:rPr>
        <w:rFonts w:ascii="Tahoma" w:cs="Tahoma" w:eastAsia="Tahoma" w:hAnsi="Tahom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Tahoma" w:cs="Tahoma" w:eastAsia="Tahoma" w:hAnsi="Tahoma"/>
        <w:b w:val="false"/>
        <w:bCs w:val="false"/>
        <w:i w:val="false"/>
        <w:iCs w:val="false"/>
        <w:color w:val="777777"/>
        <w:sz w:val="16"/>
        <w:szCs w:val="16"/>
        <w:rtl/>
      </w:rPr>
      <w:t xml:space="preserve">نمودار تفصیلی جریان داده حساس — androidpospayment 02.02.01   |   صفحه </w:t>
    </w:r>
    <w:r>
      <w:rPr>
        <w:rFonts w:ascii="Tahoma" w:cs="Tahoma" w:eastAsia="Tahoma" w:hAnsi="Tahom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right"/>
      <w:pPr>
        <w:ind w:righ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oter" Target="footer7.xml"/><Relationship Id="rId14" Type="http://schemas.openxmlformats.org/officeDocument/2006/relationships/footer" Target="footer8.xml"/><Relationship Id="rId15" Type="http://schemas.openxmlformats.org/officeDocument/2006/relationships/footer" Target="footer9.xml"/><Relationship Id="rId16" Type="http://schemas.openxmlformats.org/officeDocument/2006/relationships/footer" Target="footer10.xml"/><Relationship Id="rId17" Type="http://schemas.openxmlformats.org/officeDocument/2006/relationships/footer" Target="footer11.xml"/><Relationship Id="rId18" Type="http://schemas.openxmlformats.org/officeDocument/2006/relationships/footer" Target="footer12.xml"/><Relationship Id="rId19" Type="http://schemas.openxmlformats.org/officeDocument/2006/relationships/footer" Target="footer13.xml"/><Relationship Id="rId20" Type="http://schemas.openxmlformats.org/officeDocument/2006/relationships/image" Target="media/51bd27fab1197764c2ff55bf63c3e7231aac6ca8.undefined"/><Relationship Id="rId21" Type="http://schemas.openxmlformats.org/officeDocument/2006/relationships/image" Target="media/b76e6e529c97da6099763a54756d735ef5bd8f6c.undefined"/><Relationship Id="rId22" Type="http://schemas.openxmlformats.org/officeDocument/2006/relationships/image" Target="media/99b945d2d247e770accd6454e9706513fbd385ff.undefined"/><Relationship Id="rId23" Type="http://schemas.openxmlformats.org/officeDocument/2006/relationships/image" Target="media/1c118a527cff32bb951805f544678eb8087ca2a2.undefined"/><Relationship Id="rId24" Type="http://schemas.openxmlformats.org/officeDocument/2006/relationships/image" Target="media/3f264e63f2bb09e46a7449b60669b30ba77bd34c.undefined"/><Relationship Id="rId25" Type="http://schemas.openxmlformats.org/officeDocument/2006/relationships/image" Target="media/21cd28c561b17372fb1b341b8e10418956f16632.undefined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2026-08-18T07:21:46.336Z</dcterms:created>
  <dcterms:modified xsi:type="dcterms:W3CDTF">2026-08-18T07:21:46.336Z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