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2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0"/>
          <w:szCs w:val="40"/>
          <w:rtl/>
        </w:rPr>
        <w:t xml:space="preserve">نمودار تفصیلی جریان داده حساس</w:t>
      </w:r>
    </w:p>
    <w:p>
      <w:pPr>
        <w:pBdr>
          <w:bottom w:val="single" w:color="1F3864" w:sz="8" w:space="8"/>
        </w:pBdr>
        <w:bidi/>
        <w:spacing w:after="3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22"/>
          <w:szCs w:val="22"/>
          <w:rtl/>
        </w:rPr>
        <w:t xml:space="preserve">فرآیند خواندن کارت مغناطیسی و تأیید دارنده کارت — اپلیکیشن androidpospayment نسخه ۰۲.۰۲.۰۱</w:t>
      </w: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۱. دامنه سند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این سند مکمل سند «معماری فنی و DFD جریان داده حساس» است و جریان داده را در دو فرآیند بحرانی با جزئیات بیشتر تشریح می‌کند: خواندن ابزار پرداخت و تأیید دارنده کارت. تمرکز سند بر مسیر اقلام داده کلاس C1 شامل رمز کارت، داده نوار مغناطیسی و کلید رمزنگاری است.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قلم</w:t>
            </w:r>
          </w:p>
        </w:tc>
        <w:tc>
          <w:tcPr>
            <w:tcW w:type="dxa" w:w="5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مقدار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اپلیکیشن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androidpospayment — ir.sadadpsp.apos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نسخه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۰۲.۰۲.۰۱ — کد نسخه ۲۰۲۰۱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دستگاه هدف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Kozen D300 / P10 — Android 11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ابزار پذیرش موضوع این سند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کارت مغناطیسی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تراکنش‌های پوشش‌داده‌شده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خرید و مانده‌گیری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تاریخ تهیه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.............................</w:t>
            </w:r>
          </w:p>
        </w:tc>
      </w:tr>
    </w:tbl>
    <w:p>
      <w:pPr>
        <w:spacing w:after="160"/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۱.۱ محدوده و اصل حاکم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دامنه این سند به تراکنش‌های کارت مغناطیسی محدود است. در این ابزار پذیرش، تأیید دارنده کارت با رمز آنلاین الزامی است و امکان تأیید به روش‌های دیگر وجود ندارد.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اصل حاکم بر معماری: رمز کارت به‌صورت خام در هیچ مرحله‌ای از عنصر امن دستگاه خارج نمی‌شود و به حافظه فرآیند اپلیکیشن وارد نمی‌گردد. تنها خروجی این ناحیه، بلوک رمز رمزشده است. به همین ترتیب، مقدار هیچ کلید رمزنگاری توسط اپلیکیشن خوانده نمی‌شود و کلیه عملیات با ارجاع به شاخص کلید در عنصر امن انجام می‌گیرد.</w:t>
      </w: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۲. نواحی اعتماد و جریان کارت تا بلوک رمز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نمودار زیر ناحیه اعتماد عنصر امن دستگاه و ترتیب اجرای گام‌های ① تا ⑥ را نشان می‌دهد.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۱-الف — ناحیه اعتماد A: خواندن کارت مغناطیسی و رمزنگاری رمز کارت</w:t>
      </w:r>
    </w:p>
    <w:p>
      <w:pPr>
        <w:sectPr>
          <w:footerReference w:type="default" r:id="rId8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۲.۱ ناحیه اعتماد B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پس از عبور از مرز TB-1، تنها داده رمزشده در اختیار فرآیند اپلیکیشن قرار می‌گیرد.</w:t>
      </w:r>
    </w:p>
    <w:p>
      <w:pPr>
        <w:sectPr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۱-ب — مرز اعتماد TB-1 و ناحیه اعتماد B: ساخت پیام در فرآیند اپلیکیشن</w:t>
      </w:r>
    </w:p>
    <w:p>
      <w:pPr>
        <w:sectPr>
          <w:footerReference w:type="default" r:id="rId10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۲.۲ شرح گام‌ها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4460"/>
        <w:gridCol w:w="2200"/>
        <w:gridCol w:w="1000"/>
      </w:tblGrid>
      <w:tr>
        <w:trPr>
          <w:tblHeader/>
        </w:trPr>
        <w:tc>
          <w:tcPr>
            <w:tcW w:type="dxa" w:w="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گام</w:t>
            </w:r>
          </w:p>
        </w:tc>
        <w:tc>
          <w:tcPr>
            <w:tcW w:type="dxa" w:w="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ناحیه</w:t>
            </w:r>
          </w:p>
        </w:tc>
        <w:tc>
          <w:tcPr>
            <w:tcW w:type="dxa" w:w="44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عملیات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قلم داده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کلاس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①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ارائه ابزار پرداخت — کشیدن کارت در کارت‌خوان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داده خام کارت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②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خواندن نوار مغناطیسی در عنصر امن دستگاه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داده خام کارت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③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استخراج داده کارت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داده نوار مغناطیسی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④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ورود رمز کارت روی صفحه‌کلید امن سخت‌افزاری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رمز کارت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⑤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رمزنگاری رمز در عنصر امن و تولید بلوک رمز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بلوک رمزشده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⑥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امضای پیام و تولید MAC در عنصر امن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MAC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⑦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B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تشکیل پارامتر تراکنش در حافظه فرار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مجموعه اقلام تراکنش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⑧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B</w:t>
            </w:r>
          </w:p>
        </w:tc>
        <w:tc>
          <w:tcPr>
            <w:tcW w:type="dxa" w:w="4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تخصیص شماره پیگیری سیستمی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شماره پیگیری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C2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⑨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B</w:t>
            </w:r>
          </w:p>
        </w:tc>
        <w:tc>
          <w:tcPr>
            <w:tcW w:type="dxa" w:w="4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ساخت پیام و درج فیلدهای حساس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پیام کامل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</w:tbl>
    <w:p>
      <w:pPr>
        <w:spacing w:after="16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شماره کارت ماسک‌شده پس از ساخت پیام و برای نمایش به پذیرنده و ثبت در حافظه پایدار تولید می‌شود. شماره کارت کامل تنها در حافظه فرار پردازش می‌گردد.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۳. جریان تأیید دارنده کارت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در تراکنش کارت مغناطیسی، تأیید دارنده کارت با رمز آنلاین در هر دو نوع تراکنش خرید و مانده‌گیری الزامی است. نمودار زیر این جریان را نشان می‌دهد.</w:t>
      </w:r>
    </w:p>
    <w:p>
      <w:pPr>
        <w:sectPr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۲ — جریان تأیید دارنده کارت در تراکنش کارت مغناطیسی</w:t>
      </w:r>
    </w:p>
    <w:p>
      <w:pPr>
        <w:sectPr>
          <w:footerReference w:type="default" r:id="rId12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۳.۱ حضور فیلدهای پیام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60"/>
        <w:gridCol w:w="3400"/>
        <w:gridCol w:w="1000"/>
      </w:tblGrid>
      <w:tr>
        <w:trPr>
          <w:tblHeader/>
        </w:trPr>
        <w:tc>
          <w:tcPr>
            <w:tcW w:type="dxa" w:w="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فیلد</w:t>
            </w:r>
          </w:p>
        </w:tc>
        <w:tc>
          <w:tcPr>
            <w:tcW w:type="dxa" w:w="4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محتوا</w:t>
            </w:r>
          </w:p>
        </w:tc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وضعیت در پیام</w:t>
            </w:r>
          </w:p>
        </w:tc>
        <w:tc>
          <w:tcPr>
            <w:tcW w:type="dxa" w:w="1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کلاس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۳۵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داده نوار مغناطیسی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۵۲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بلوک رمز کارت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۶۴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MAC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۴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مبلغ تراکنش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در تراکنش خرید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C3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۴۱</w:t>
            </w:r>
          </w:p>
        </w:tc>
        <w:tc>
          <w:tcPr>
            <w:tcW w:type="dxa" w:w="4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شناسه ترمینال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C3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۴۲</w:t>
            </w:r>
          </w:p>
        </w:tc>
        <w:tc>
          <w:tcPr>
            <w:tcW w:type="dxa" w:w="4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شناسه پذیرنده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C3</w:t>
            </w:r>
          </w:p>
        </w:tc>
      </w:tr>
    </w:tbl>
    <w:p>
      <w:pPr>
        <w:spacing w:after="160"/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۳.۲ تفکیک بر حسب نوع تراکنش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160"/>
        <w:gridCol w:w="160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نوع تراکنش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کد پردازش</w:t>
            </w:r>
          </w:p>
        </w:tc>
        <w:tc>
          <w:tcPr>
            <w:tcW w:type="dxa" w:w="31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مبلغ</w:t>
            </w:r>
          </w:p>
        </w:tc>
        <w:tc>
          <w:tcPr>
            <w:tcW w:type="dxa" w:w="16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رمز آنلاین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خرید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۰۰۰۰۰۰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از پذیرنده دریافت می‌شود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مانده‌گیری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۳۱۰۰۰۰</w:t>
            </w:r>
          </w:p>
        </w:tc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بدون مبلغ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</w:tr>
    </w:tbl>
    <w:p>
      <w:pPr>
        <w:spacing w:after="16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قاعده کنترلی: در تراکنش کارت مغناطیسی، نبود بلوک رمز در پیام موجب رد تراکنش نزد صادرکننده می‌شود. این کنترل در مسیر پردازش پیام اعمال شده است.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۴. نمودار توالی تراکنش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توالی زمانی تبادل پیام میان پنج بازیگر فرآیند در شش فاز و در دو نمودار پیوسته ارائه شده است. فلش‌های بازگشتی به خود بازیگر، عملیات درونی همان ناحیه را نشان می‌دهند.</w:t>
      </w: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۴.۱ فازهای ۱ تا ۳</w:t>
      </w:r>
    </w:p>
    <w:p>
      <w:pPr>
        <w:sectPr>
          <w:footerReference w:type="default" r:id="rId13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۳-الف — توالی فازهای ۱ تا ۳: ارائه کارت، خواندن کارت و تأیید دارنده کارت</w:t>
      </w:r>
    </w:p>
    <w:p>
      <w:pPr>
        <w:sectPr>
          <w:footerReference w:type="default" r:id="rId14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۴.۲ فازهای ۴ تا ۶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ادامه توالی، از ساخت و امضای پیام تا چاپ رسید، در نمودار زیر آمده است.</w:t>
      </w:r>
    </w:p>
    <w:p>
      <w:pPr>
        <w:sectPr>
          <w:footerReference w:type="default" r:id="rId15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۳-ب — توالی فازهای ۴ تا ۶: ساخت پیام، تبادل با سوییچ و چاپ رسید</w:t>
      </w:r>
    </w:p>
    <w:p>
      <w:pPr>
        <w:sectPr>
          <w:footerReference w:type="default" r:id="rId16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۴.۳ فازهای فرآیند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فاز</w:t>
            </w:r>
          </w:p>
        </w:tc>
        <w:tc>
          <w:tcPr>
            <w:tcW w:type="dxa" w:w="2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عنوان</w:t>
            </w:r>
          </w:p>
        </w:tc>
        <w:tc>
          <w:tcPr>
            <w:tcW w:type="dxa" w:w="57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رخداد کلیدی امنیتی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۱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آماده‌سازی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ارسال نوع و مبلغ تراکنش به عنصر امن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۲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خواندن کارت</w:t>
            </w:r>
          </w:p>
        </w:tc>
        <w:tc>
          <w:tcPr>
            <w:tcW w:type="dxa" w:w="5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خواندن نوار مغناطیسی و استخراج داده کارت در عنصر امن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۳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تأیید دارنده کارت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ورود رمز در محیط امن و رمزنگاری آن در عنصر امن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۴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ساخت و امضای پیام</w:t>
            </w:r>
          </w:p>
        </w:tc>
        <w:tc>
          <w:tcPr>
            <w:tcW w:type="dxa" w:w="5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تولید MAC با کلید احراز پیام در عنصر امن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۵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تبادل با سوییچ</w:t>
            </w:r>
          </w:p>
        </w:tc>
        <w:tc>
          <w:tcPr>
            <w:tcW w:type="dxa" w:w="5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ارسال درخواست و اعتبارسنجی MAC پاسخ</w:t>
            </w:r>
          </w:p>
        </w:tc>
      </w:tr>
      <w:tr>
        <w:tc>
          <w:tcPr>
            <w:tcW w:type="dxa" w:w="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۶</w:t>
            </w:r>
          </w:p>
        </w:tc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نهایی‌سازی</w:t>
            </w:r>
          </w:p>
        </w:tc>
        <w:tc>
          <w:tcPr>
            <w:tcW w:type="dxa" w:w="5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ثبت تراکنش با شماره کارت ماسک‌شده و چاپ رسید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۵. سلسله‌مراتب کلید و چرخه حیات داده حساس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بخش الف نمودار زیر رابطه کلید اصلی ترمینال با کلیدهای عملیاتی را نشان می‌دهد و بخش ب چرخه حیات هر قلم داده حساس را در پنج مرحله تشریح می‌کند.</w:t>
      </w:r>
    </w:p>
    <w:p>
      <w:pPr>
        <w:sectPr>
          <w:footerReference w:type="default" r:id="rId1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۴ — سلسله‌مراتب کلید در عنصر امن و چرخه حیات اقلام داده حساس</w:t>
      </w:r>
    </w:p>
    <w:p>
      <w:pPr>
        <w:sectPr>
          <w:footerReference w:type="default" r:id="rId18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۵.۱ اصول حفاظت از کلید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موضوع</w:t>
            </w:r>
          </w:p>
        </w:tc>
        <w:tc>
          <w:tcPr>
            <w:tcW w:type="dxa" w:w="5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وضعیت</w:t>
            </w:r>
          </w:p>
        </w:tc>
      </w:tr>
      <w:tr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محل نگهداری کلید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عنصر امن دستگاه</w:t>
            </w:r>
          </w:p>
        </w:tc>
      </w:tr>
      <w:tr>
        <w:tc>
          <w:tcPr>
            <w:tcW w:type="dxa" w:w="4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نگهداری کلید در حافظه اپلیکیشن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انجام نمی‌شود</w:t>
            </w:r>
          </w:p>
        </w:tc>
      </w:tr>
      <w:tr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نگهداری کلید در پایگاه داده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انجام نمی‌شود</w:t>
            </w:r>
          </w:p>
        </w:tc>
      </w:tr>
      <w:tr>
        <w:tc>
          <w:tcPr>
            <w:tcW w:type="dxa" w:w="4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روش دسترسی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ارجاع با شاخص؛ مقدار کلید خوانده نمی‌شود</w:t>
            </w:r>
          </w:p>
        </w:tc>
      </w:tr>
      <w:tr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روش دریافت کلیدهای عملیاتی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فرآیند ورود به سیستم و تحت حفاظت کلید اصلی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۶. کنترل‌های اعمال‌شده بر مرزهای اعتماد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60"/>
        <w:gridCol w:w="4800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مرز</w:t>
            </w:r>
          </w:p>
        </w:tc>
        <w:tc>
          <w:tcPr>
            <w:tcW w:type="dxa" w:w="36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محل</w:t>
            </w:r>
          </w:p>
        </w:tc>
        <w:tc>
          <w:tcPr>
            <w:tcW w:type="dxa" w:w="4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کنترل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TB-1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صفحه‌کلید امن و فرآیند اپلیکیشن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رمز خام عبور نمی‌کند؛ تنها بلوک رمزشده منتقل می‌شود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TB-2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فرآیند اپلیکیشن و عنصر امن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فراخوانی با شاخص کلید؛ مقدار کلید خوانده نمی‌شود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TB-3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فرآیند اپلیکیشن و حافظه پایدار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رمزنگاری پایگاه داده و ثبت تنها اقلام مجاز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TB-4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ترمینال و سوییچ سداد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MAC برای یکپارچگی و بلوک رمزشده برای محرمانگی رمز</w:t>
            </w:r>
          </w:p>
        </w:tc>
      </w:tr>
    </w:tbl>
    <w:p>
      <w:pPr>
        <w:spacing w:after="160"/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۶.۱ اقلامی که در حافظه پایدار ثبت نمی‌شوند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رمز کارت به‌صورت خام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بلوک رمز کارت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داده کامل نوار مغناطیسی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مقدار کلیدهای رمزنگاری</w:t>
      </w:r>
    </w:p>
    <w:p>
      <w:pPr>
        <w:spacing w:after="120"/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۶.۲ اقلامی که بر رسید چاپ نمی‌شوند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رمز کارت و بلوک رمز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داده نوار مغناطیسی و شماره کارت کامل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بر رسید تنها شماره کارت ماسک‌شده چاپ می‌گردد.</w:t>
      </w:r>
    </w:p>
    <w:p>
      <w:pPr>
        <w:spacing w:after="300"/>
      </w:pP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  <w:rtl/>
        </w:rPr>
        <w:t xml:space="preserve">تنظیم‌کننده: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.................................        </w:t>
      </w: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  <w:rtl/>
        </w:rPr>
        <w:t xml:space="preserve">سمت: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.................................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  <w:rtl/>
        </w:rPr>
        <w:t xml:space="preserve">تأیید مسئول امنیت اطلاعات: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.................................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  <w:rtl/>
        </w:rPr>
        <w:t xml:space="preserve">تأیید مدیر فنی: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.................................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  <w:rtl/>
        </w:rPr>
        <w:t xml:space="preserve">تاریخ: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.................................</w:t>
      </w:r>
    </w:p>
    <w:sectPr>
      <w:footerReference w:type="default" r:id="rId1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right"/>
      <w:pPr>
        <w:ind w:righ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image" Target="media/dd21e53e998e0888addca229e6108d731792cf32.undefined"/><Relationship Id="rId21" Type="http://schemas.openxmlformats.org/officeDocument/2006/relationships/image" Target="media/6113ac0043ccd0f536b26592b945c780856d149a.undefined"/><Relationship Id="rId22" Type="http://schemas.openxmlformats.org/officeDocument/2006/relationships/image" Target="media/d1202f827057929be3b3906472c62e19edb3e8dd.undefined"/><Relationship Id="rId23" Type="http://schemas.openxmlformats.org/officeDocument/2006/relationships/image" Target="media/f79bda041a507bb5d41e605fa8bf5a6902617bfb.undefined"/><Relationship Id="rId24" Type="http://schemas.openxmlformats.org/officeDocument/2006/relationships/image" Target="media/878a60c5a882662649bf5a73bef5a8ca0019008a.undefined"/><Relationship Id="rId25" Type="http://schemas.openxmlformats.org/officeDocument/2006/relationships/image" Target="media/5cc0b0d964427057a7537ecb8c7a9c69e2237d56.undefined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2026-08-17T18:33:45.620Z</dcterms:created>
  <dcterms:modified xsi:type="dcterms:W3CDTF">2026-08-17T18:33:45.621Z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