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01" w:rsidRPr="004F78FD" w:rsidRDefault="004F78FD" w:rsidP="004F78FD">
      <w:pPr>
        <w:pStyle w:val="Heading1"/>
      </w:pPr>
      <w:r>
        <w:t xml:space="preserve">Draft </w:t>
      </w:r>
      <w:r w:rsidR="005436E8">
        <w:t xml:space="preserve">Informal </w:t>
      </w:r>
      <w:r w:rsidR="00E730E4">
        <w:t>Project Brief</w:t>
      </w:r>
      <w:bookmarkStart w:id="0" w:name="_GoBack"/>
      <w:bookmarkEnd w:id="0"/>
    </w:p>
    <w:p w:rsidR="00E730E4" w:rsidRDefault="00E730E4" w:rsidP="00E730E4">
      <w:pPr>
        <w:pStyle w:val="Heading2"/>
      </w:pPr>
      <w:r>
        <w:t>Background to the material</w:t>
      </w:r>
    </w:p>
    <w:p w:rsidR="00900F01" w:rsidRPr="00943ED3" w:rsidRDefault="00900F01" w:rsidP="00900F01">
      <w:pPr>
        <w:rPr>
          <w:rFonts w:cs="CIDFont+F1"/>
          <w:color w:val="000000" w:themeColor="text1"/>
        </w:rPr>
      </w:pPr>
      <w:r w:rsidRPr="00943ED3">
        <w:rPr>
          <w:color w:val="000000" w:themeColor="text1"/>
        </w:rPr>
        <w:t>Michael Maurice O’Shaughnessy</w:t>
      </w:r>
      <w:r>
        <w:rPr>
          <w:color w:val="000000" w:themeColor="text1"/>
        </w:rPr>
        <w:t xml:space="preserve"> (MMOS)</w:t>
      </w:r>
      <w:r>
        <w:rPr>
          <w:color w:val="000000" w:themeColor="text1"/>
        </w:rPr>
        <w:t xml:space="preserve"> </w:t>
      </w:r>
      <w:r w:rsidRPr="00943ED3">
        <w:rPr>
          <w:rFonts w:cs="CIDFont+F1"/>
          <w:color w:val="000000" w:themeColor="text1"/>
        </w:rPr>
        <w:t>began his engineering s</w:t>
      </w:r>
      <w:r>
        <w:rPr>
          <w:rFonts w:cs="CIDFont+F1"/>
          <w:color w:val="000000" w:themeColor="text1"/>
        </w:rPr>
        <w:t>tudies at Queen’s College, Cork. After a year in Cork, he</w:t>
      </w:r>
      <w:r w:rsidRPr="00943ED3">
        <w:rPr>
          <w:rFonts w:cs="CIDFont+F1"/>
          <w:color w:val="000000" w:themeColor="text1"/>
        </w:rPr>
        <w:t xml:space="preserve"> transferred to Queen’s College, Galway</w:t>
      </w:r>
      <w:r>
        <w:rPr>
          <w:rFonts w:cs="CIDFont+F1"/>
          <w:color w:val="000000" w:themeColor="text1"/>
        </w:rPr>
        <w:t xml:space="preserve"> to study Civil Engineering under Professor Townsend, and in </w:t>
      </w:r>
      <w:r w:rsidRPr="00943ED3">
        <w:rPr>
          <w:rFonts w:cs="CIDFont+F1"/>
          <w:color w:val="000000" w:themeColor="text1"/>
        </w:rPr>
        <w:t>1884 he was awarded his degree by the Royal University of Ireland</w:t>
      </w:r>
      <w:r>
        <w:rPr>
          <w:rFonts w:cs="CIDFont+F1"/>
          <w:color w:val="000000" w:themeColor="text1"/>
        </w:rPr>
        <w:t>. The</w:t>
      </w:r>
      <w:r w:rsidRPr="00943ED3">
        <w:rPr>
          <w:rFonts w:cs="CIDFont+F1"/>
          <w:color w:val="000000" w:themeColor="text1"/>
        </w:rPr>
        <w:t xml:space="preserve"> following year O’Shaughnessy travelled to the United States. Following several decades of engineering experience in the US and in Hawaii</w:t>
      </w:r>
      <w:r>
        <w:rPr>
          <w:rFonts w:cs="CIDFont+F1"/>
          <w:color w:val="000000" w:themeColor="text1"/>
        </w:rPr>
        <w:t>,</w:t>
      </w:r>
      <w:r w:rsidRPr="00943ED3">
        <w:rPr>
          <w:rFonts w:cs="CIDFont+F1"/>
          <w:color w:val="000000" w:themeColor="text1"/>
        </w:rPr>
        <w:t xml:space="preserve"> he was invited to become chief engineer </w:t>
      </w:r>
      <w:r>
        <w:rPr>
          <w:rFonts w:cs="CIDFont+F1"/>
          <w:color w:val="000000" w:themeColor="text1"/>
        </w:rPr>
        <w:t>of San Francisco</w:t>
      </w:r>
      <w:r w:rsidRPr="000C1449">
        <w:rPr>
          <w:rFonts w:cs="CIDFont+F1"/>
          <w:color w:val="000000" w:themeColor="text1"/>
        </w:rPr>
        <w:t xml:space="preserve"> </w:t>
      </w:r>
      <w:r w:rsidRPr="00943ED3">
        <w:rPr>
          <w:rFonts w:cs="CIDFont+F1"/>
          <w:color w:val="000000" w:themeColor="text1"/>
        </w:rPr>
        <w:t xml:space="preserve">by the mayor of </w:t>
      </w:r>
      <w:r>
        <w:rPr>
          <w:rFonts w:cs="CIDFont+F1"/>
          <w:color w:val="000000" w:themeColor="text1"/>
        </w:rPr>
        <w:t>the city in 1912, a position he served in for over 20 years.</w:t>
      </w:r>
      <w:r w:rsidRPr="00943ED3">
        <w:rPr>
          <w:rFonts w:cs="CIDFont+F1"/>
          <w:color w:val="000000" w:themeColor="text1"/>
        </w:rPr>
        <w:t xml:space="preserve"> </w:t>
      </w:r>
    </w:p>
    <w:p w:rsidR="00900F01" w:rsidRPr="00943ED3" w:rsidRDefault="00900F01" w:rsidP="00900F01">
      <w:pPr>
        <w:rPr>
          <w:rFonts w:cs="CIDFont+F1"/>
          <w:color w:val="000000" w:themeColor="text1"/>
        </w:rPr>
      </w:pPr>
      <w:r w:rsidRPr="00943ED3">
        <w:rPr>
          <w:rFonts w:cs="CIDFont+F1"/>
          <w:color w:val="000000" w:themeColor="text1"/>
        </w:rPr>
        <w:t xml:space="preserve">The appointment came </w:t>
      </w:r>
      <w:r>
        <w:rPr>
          <w:rFonts w:cs="CIDFont+F1"/>
          <w:color w:val="000000" w:themeColor="text1"/>
        </w:rPr>
        <w:t>soon</w:t>
      </w:r>
      <w:r w:rsidRPr="00943ED3">
        <w:rPr>
          <w:rFonts w:cs="CIDFont+F1"/>
          <w:color w:val="000000" w:themeColor="text1"/>
        </w:rPr>
        <w:t xml:space="preserve"> after the great earthquake of 1906 which had destroyed 80% o</w:t>
      </w:r>
      <w:r>
        <w:rPr>
          <w:rFonts w:cs="CIDFont+F1"/>
          <w:color w:val="000000" w:themeColor="text1"/>
        </w:rPr>
        <w:t xml:space="preserve">f the city of San Francisco. O’Shaughnessy </w:t>
      </w:r>
      <w:r w:rsidRPr="00943ED3">
        <w:rPr>
          <w:rFonts w:cs="CIDFont+F1"/>
          <w:color w:val="000000" w:themeColor="text1"/>
        </w:rPr>
        <w:t xml:space="preserve">oversaw several major developments during a period of tremendous growth for the city, notably the design and execution of the </w:t>
      </w:r>
      <w:proofErr w:type="spellStart"/>
      <w:r w:rsidRPr="00943ED3">
        <w:rPr>
          <w:rFonts w:cs="CIDFont+F1"/>
          <w:color w:val="000000" w:themeColor="text1"/>
        </w:rPr>
        <w:t>Hetch</w:t>
      </w:r>
      <w:proofErr w:type="spellEnd"/>
      <w:r w:rsidRPr="00943ED3">
        <w:rPr>
          <w:rFonts w:cs="CIDFont+F1"/>
          <w:color w:val="000000" w:themeColor="text1"/>
        </w:rPr>
        <w:t xml:space="preserve"> </w:t>
      </w:r>
      <w:proofErr w:type="spellStart"/>
      <w:r w:rsidRPr="00943ED3">
        <w:rPr>
          <w:rFonts w:cs="CIDFont+F1"/>
          <w:color w:val="000000" w:themeColor="text1"/>
        </w:rPr>
        <w:t>Hetchy</w:t>
      </w:r>
      <w:proofErr w:type="spellEnd"/>
      <w:r w:rsidRPr="00943ED3">
        <w:rPr>
          <w:rFonts w:cs="CIDFont+F1"/>
          <w:color w:val="000000" w:themeColor="text1"/>
        </w:rPr>
        <w:t xml:space="preserve"> scheme which supplied water to the growing city. </w:t>
      </w:r>
    </w:p>
    <w:p w:rsidR="00900F01" w:rsidRDefault="004F78FD" w:rsidP="00900F01">
      <w:pPr>
        <w:rPr>
          <w:rFonts w:cs="CIDFont+F1"/>
          <w:color w:val="000000" w:themeColor="text1"/>
        </w:rPr>
      </w:pPr>
      <w:r>
        <w:rPr>
          <w:rFonts w:cs="CIDFont+F1"/>
          <w:color w:val="000000" w:themeColor="text1"/>
        </w:rPr>
        <w:t>Our</w:t>
      </w:r>
      <w:r w:rsidR="00900F01" w:rsidRPr="00943ED3">
        <w:rPr>
          <w:rFonts w:cs="CIDFont+F1"/>
          <w:color w:val="000000" w:themeColor="text1"/>
        </w:rPr>
        <w:t xml:space="preserve"> collection contains a wealth of material relating to O’Shaughnessy’s time in private practice. Correspondence </w:t>
      </w:r>
      <w:r w:rsidR="00900F01">
        <w:rPr>
          <w:rFonts w:cs="CIDFont+F1"/>
          <w:color w:val="000000" w:themeColor="text1"/>
        </w:rPr>
        <w:t>covering</w:t>
      </w:r>
      <w:r w:rsidR="00900F01" w:rsidRPr="00943ED3">
        <w:rPr>
          <w:rFonts w:cs="CIDFont+F1"/>
          <w:color w:val="000000" w:themeColor="text1"/>
        </w:rPr>
        <w:t xml:space="preserve"> his mining inte</w:t>
      </w:r>
      <w:r w:rsidR="00900F01">
        <w:rPr>
          <w:rFonts w:cs="CIDFont+F1"/>
          <w:color w:val="000000" w:themeColor="text1"/>
        </w:rPr>
        <w:t>rests, rail projects, and</w:t>
      </w:r>
      <w:r w:rsidR="00900F01" w:rsidRPr="00943ED3">
        <w:rPr>
          <w:rFonts w:cs="CIDFont+F1"/>
          <w:color w:val="000000" w:themeColor="text1"/>
        </w:rPr>
        <w:t xml:space="preserve"> </w:t>
      </w:r>
      <w:r w:rsidR="00900F01">
        <w:rPr>
          <w:rFonts w:cs="CIDFont+F1"/>
          <w:color w:val="000000" w:themeColor="text1"/>
        </w:rPr>
        <w:t>irrigation work on the sugar plantations</w:t>
      </w:r>
      <w:r w:rsidR="00900F01" w:rsidRPr="00943ED3">
        <w:rPr>
          <w:rFonts w:cs="CIDFont+F1"/>
          <w:color w:val="000000" w:themeColor="text1"/>
        </w:rPr>
        <w:t xml:space="preserve"> in Haw</w:t>
      </w:r>
      <w:r w:rsidR="00900F01">
        <w:rPr>
          <w:rFonts w:cs="CIDFont+F1"/>
          <w:color w:val="000000" w:themeColor="text1"/>
        </w:rPr>
        <w:t>aii</w:t>
      </w:r>
      <w:r w:rsidR="00900F01" w:rsidRPr="00943ED3">
        <w:rPr>
          <w:rFonts w:cs="CIDFont+F1"/>
          <w:color w:val="000000" w:themeColor="text1"/>
        </w:rPr>
        <w:t xml:space="preserve"> </w:t>
      </w:r>
      <w:r w:rsidR="00900F01">
        <w:rPr>
          <w:rFonts w:cs="CIDFont+F1"/>
          <w:color w:val="000000" w:themeColor="text1"/>
        </w:rPr>
        <w:t xml:space="preserve">are complemented by photographs, detailed drawings and blueprints that build up a </w:t>
      </w:r>
      <w:r w:rsidR="00900F01" w:rsidRPr="00943ED3">
        <w:rPr>
          <w:rFonts w:cs="CIDFont+F1"/>
          <w:color w:val="000000" w:themeColor="text1"/>
        </w:rPr>
        <w:t xml:space="preserve">substantial </w:t>
      </w:r>
      <w:r w:rsidR="00900F01">
        <w:rPr>
          <w:rFonts w:cs="CIDFont+F1"/>
          <w:color w:val="000000" w:themeColor="text1"/>
        </w:rPr>
        <w:t>picture</w:t>
      </w:r>
      <w:r w:rsidR="00900F01" w:rsidRPr="00943ED3">
        <w:rPr>
          <w:rFonts w:cs="CIDFont+F1"/>
          <w:color w:val="000000" w:themeColor="text1"/>
        </w:rPr>
        <w:t xml:space="preserve"> of these projects. </w:t>
      </w:r>
    </w:p>
    <w:p w:rsidR="00900F01" w:rsidRPr="00943ED3" w:rsidRDefault="00900F01" w:rsidP="00900F01">
      <w:pPr>
        <w:rPr>
          <w:rFonts w:cs="CIDFont+F1"/>
          <w:color w:val="000000" w:themeColor="text1"/>
        </w:rPr>
      </w:pPr>
      <w:r>
        <w:rPr>
          <w:rFonts w:cs="CIDFont+F1"/>
          <w:color w:val="000000" w:themeColor="text1"/>
        </w:rPr>
        <w:t>The archive includes o</w:t>
      </w:r>
      <w:r w:rsidRPr="00943ED3">
        <w:rPr>
          <w:rFonts w:cs="CIDFont+F1"/>
          <w:color w:val="000000" w:themeColor="text1"/>
        </w:rPr>
        <w:t xml:space="preserve">ver 2,200 photographs </w:t>
      </w:r>
      <w:r>
        <w:rPr>
          <w:rFonts w:cs="CIDFont+F1"/>
          <w:color w:val="000000" w:themeColor="text1"/>
        </w:rPr>
        <w:t>depicting</w:t>
      </w:r>
      <w:r w:rsidRPr="00943ED3">
        <w:rPr>
          <w:rFonts w:cs="CIDFont+F1"/>
          <w:color w:val="000000" w:themeColor="text1"/>
        </w:rPr>
        <w:t xml:space="preserve"> site work, professional gatherings, and of his personal family life. </w:t>
      </w:r>
    </w:p>
    <w:p w:rsidR="00900F01" w:rsidRPr="00943ED3" w:rsidRDefault="00900F01" w:rsidP="00900F01">
      <w:pPr>
        <w:pStyle w:val="Heading2"/>
      </w:pPr>
      <w:r w:rsidRPr="00943ED3">
        <w:t>Objectives</w:t>
      </w:r>
    </w:p>
    <w:p w:rsidR="00050550" w:rsidRDefault="00900F01">
      <w:r w:rsidRPr="00943ED3">
        <w:t>The o</w:t>
      </w:r>
      <w:r w:rsidR="00E730E4">
        <w:rPr>
          <w:noProof/>
        </w:rPr>
        <w:t>bjective of this</w:t>
      </w:r>
      <w:r w:rsidRPr="00900F01">
        <w:rPr>
          <w:noProof/>
        </w:rPr>
        <w:t xml:space="preserve"> </w:t>
      </w:r>
      <w:r w:rsidR="00E730E4">
        <w:rPr>
          <w:noProof/>
        </w:rPr>
        <w:t>assignment</w:t>
      </w:r>
      <w:r w:rsidRPr="00900F01">
        <w:rPr>
          <w:noProof/>
        </w:rPr>
        <w:t xml:space="preserve"> </w:t>
      </w:r>
      <w:r w:rsidR="00E730E4" w:rsidRPr="00E730E4">
        <w:rPr>
          <w:noProof/>
        </w:rPr>
        <w:t xml:space="preserve">is </w:t>
      </w:r>
      <w:r w:rsidRPr="00E730E4">
        <w:rPr>
          <w:noProof/>
        </w:rPr>
        <w:t>to</w:t>
      </w:r>
      <w:r>
        <w:rPr>
          <w:noProof/>
        </w:rPr>
        <w:t xml:space="preserve"> </w:t>
      </w:r>
      <w:r w:rsidRPr="00900F01">
        <w:rPr>
          <w:noProof/>
        </w:rPr>
        <w:t>provide</w:t>
      </w:r>
      <w:r>
        <w:t xml:space="preserve"> code and </w:t>
      </w:r>
      <w:r w:rsidRPr="00900F01">
        <w:rPr>
          <w:noProof/>
        </w:rPr>
        <w:t xml:space="preserve">documentation </w:t>
      </w:r>
      <w:r w:rsidRPr="00E126F0">
        <w:rPr>
          <w:noProof/>
          <w:u w:val="thick" w:color="28B473"/>
        </w:rPr>
        <w:t>to :</w:t>
      </w:r>
    </w:p>
    <w:p w:rsidR="00E730E4" w:rsidRDefault="00900F01">
      <w:pPr>
        <w:rPr>
          <w:noProof/>
        </w:rPr>
      </w:pPr>
      <w:r>
        <w:rPr>
          <w:noProof/>
        </w:rPr>
        <w:t xml:space="preserve">Enable viewing and </w:t>
      </w:r>
      <w:r w:rsidR="004F78FD">
        <w:rPr>
          <w:noProof/>
        </w:rPr>
        <w:t xml:space="preserve">timeline based </w:t>
      </w:r>
      <w:r>
        <w:rPr>
          <w:noProof/>
        </w:rPr>
        <w:t>navigation of the MMOS memoir</w:t>
      </w:r>
      <w:r w:rsidR="004F78FD">
        <w:rPr>
          <w:noProof/>
        </w:rPr>
        <w:t>,</w:t>
      </w:r>
      <w:r>
        <w:rPr>
          <w:noProof/>
        </w:rPr>
        <w:t xml:space="preserve"> (1</w:t>
      </w:r>
      <w:r w:rsidR="00E730E4">
        <w:rPr>
          <w:noProof/>
        </w:rPr>
        <w:t>75</w:t>
      </w:r>
      <w:r>
        <w:rPr>
          <w:noProof/>
        </w:rPr>
        <w:t xml:space="preserve"> A4 single pages)</w:t>
      </w:r>
      <w:r w:rsidR="004F78FD">
        <w:rPr>
          <w:noProof/>
        </w:rPr>
        <w:t>,</w:t>
      </w:r>
      <w:r>
        <w:rPr>
          <w:noProof/>
        </w:rPr>
        <w:t xml:space="preserve"> with </w:t>
      </w:r>
      <w:r w:rsidRPr="00E126F0">
        <w:rPr>
          <w:noProof/>
          <w:u w:val="thick" w:color="28B473"/>
        </w:rPr>
        <w:t>a suitably customised IIIF</w:t>
      </w:r>
      <w:r>
        <w:rPr>
          <w:noProof/>
        </w:rPr>
        <w:t xml:space="preserve"> </w:t>
      </w:r>
      <w:r w:rsidRPr="00900F01">
        <w:rPr>
          <w:noProof/>
        </w:rPr>
        <w:t>viewer</w:t>
      </w:r>
      <w:r w:rsidR="00E730E4">
        <w:rPr>
          <w:noProof/>
        </w:rPr>
        <w:t>.</w:t>
      </w:r>
    </w:p>
    <w:p w:rsidR="00E730E4" w:rsidRDefault="00E730E4">
      <w:pPr>
        <w:rPr>
          <w:noProof/>
        </w:rPr>
      </w:pPr>
      <w:r>
        <w:rPr>
          <w:noProof/>
        </w:rPr>
        <w:t>The solution</w:t>
      </w:r>
      <w:r w:rsidR="00900F01">
        <w:rPr>
          <w:noProof/>
        </w:rPr>
        <w:t xml:space="preserve"> </w:t>
      </w:r>
      <w:r>
        <w:rPr>
          <w:noProof/>
        </w:rPr>
        <w:t xml:space="preserve">will </w:t>
      </w:r>
      <w:r w:rsidRPr="00E730E4">
        <w:rPr>
          <w:noProof/>
        </w:rPr>
        <w:t>utilise</w:t>
      </w:r>
      <w:r>
        <w:rPr>
          <w:noProof/>
        </w:rPr>
        <w:t xml:space="preserve"> 3 panels: (</w:t>
      </w:r>
      <w:r w:rsidRPr="00E730E4">
        <w:rPr>
          <w:noProof/>
        </w:rPr>
        <w:t>pic</w:t>
      </w:r>
      <w:r>
        <w:rPr>
          <w:noProof/>
        </w:rPr>
        <w:t xml:space="preserve"> below) – a top panel </w:t>
      </w:r>
      <w:r w:rsidRPr="00E126F0">
        <w:rPr>
          <w:noProof/>
          <w:u w:val="thick" w:color="28B473"/>
        </w:rPr>
        <w:t>contains</w:t>
      </w:r>
      <w:r>
        <w:rPr>
          <w:noProof/>
        </w:rPr>
        <w:t xml:space="preserve"> the navigational timeline, the left panel contains the viewer and a right panel contains the supplemental </w:t>
      </w:r>
      <w:r w:rsidRPr="00E730E4">
        <w:rPr>
          <w:noProof/>
        </w:rPr>
        <w:t>cont</w:t>
      </w:r>
      <w:r>
        <w:rPr>
          <w:noProof/>
        </w:rPr>
        <w:t>e</w:t>
      </w:r>
      <w:r w:rsidRPr="00E730E4">
        <w:rPr>
          <w:noProof/>
        </w:rPr>
        <w:t>nt</w:t>
      </w:r>
      <w:r>
        <w:rPr>
          <w:noProof/>
        </w:rPr>
        <w:t>. The</w:t>
      </w:r>
      <w:r w:rsidR="00900F01">
        <w:rPr>
          <w:noProof/>
        </w:rPr>
        <w:t xml:space="preserve"> navigational timeline is </w:t>
      </w:r>
      <w:r w:rsidR="00900F01" w:rsidRPr="00900F01">
        <w:rPr>
          <w:noProof/>
        </w:rPr>
        <w:t>sync</w:t>
      </w:r>
      <w:r w:rsidR="00900F01">
        <w:rPr>
          <w:noProof/>
        </w:rPr>
        <w:t>h</w:t>
      </w:r>
      <w:r w:rsidR="00900F01" w:rsidRPr="00900F01">
        <w:rPr>
          <w:noProof/>
        </w:rPr>
        <w:t>ronised</w:t>
      </w:r>
      <w:r w:rsidR="00900F01">
        <w:rPr>
          <w:noProof/>
        </w:rPr>
        <w:t xml:space="preserve"> with the viewer in that it advances and retreats as the user </w:t>
      </w:r>
      <w:r w:rsidR="00900F01" w:rsidRPr="00900F01">
        <w:rPr>
          <w:noProof/>
        </w:rPr>
        <w:t>navi</w:t>
      </w:r>
      <w:r w:rsidR="00900F01">
        <w:rPr>
          <w:noProof/>
        </w:rPr>
        <w:t>ga</w:t>
      </w:r>
      <w:r w:rsidR="00900F01" w:rsidRPr="00900F01">
        <w:rPr>
          <w:noProof/>
        </w:rPr>
        <w:t>tes</w:t>
      </w:r>
      <w:r w:rsidR="00900F01">
        <w:rPr>
          <w:noProof/>
        </w:rPr>
        <w:t xml:space="preserve"> the document. A timeline-controller or similar apparatus consults a lookup object to determine the active timeline element based on the page number as supplied by the viewer. </w:t>
      </w:r>
      <w:r>
        <w:rPr>
          <w:noProof/>
        </w:rPr>
        <w:t xml:space="preserve"> The lookup object </w:t>
      </w:r>
      <w:r w:rsidRPr="00E126F0">
        <w:rPr>
          <w:noProof/>
          <w:u w:val="thick" w:color="E2534F"/>
        </w:rPr>
        <w:t>associates</w:t>
      </w:r>
      <w:r w:rsidRPr="004F78FD">
        <w:rPr>
          <w:noProof/>
        </w:rPr>
        <w:t xml:space="preserve"> a</w:t>
      </w:r>
      <w:r>
        <w:rPr>
          <w:noProof/>
        </w:rPr>
        <w:t xml:space="preserve"> page-range with a discrete timeline element.</w:t>
      </w:r>
      <w:r w:rsidR="004F78FD">
        <w:rPr>
          <w:noProof/>
        </w:rPr>
        <w:t xml:space="preserve"> Conversely, the timeline controller changes the viewer page to the first page in the range for any selected timeline element.</w:t>
      </w:r>
    </w:p>
    <w:p w:rsidR="00E730E4" w:rsidRDefault="00E730E4">
      <w:pPr>
        <w:rPr>
          <w:noProof/>
        </w:rPr>
      </w:pPr>
      <w:r>
        <w:rPr>
          <w:noProof/>
        </w:rPr>
        <w:t>The s</w:t>
      </w:r>
      <w:r w:rsidRPr="00E730E4">
        <w:rPr>
          <w:noProof/>
        </w:rPr>
        <w:t>upplemental</w:t>
      </w:r>
      <w:r>
        <w:rPr>
          <w:noProof/>
        </w:rPr>
        <w:t xml:space="preserve"> material </w:t>
      </w:r>
      <w:r w:rsidR="004F78FD">
        <w:rPr>
          <w:noProof/>
        </w:rPr>
        <w:t xml:space="preserve">comprises </w:t>
      </w:r>
      <w:r>
        <w:rPr>
          <w:noProof/>
        </w:rPr>
        <w:t xml:space="preserve">thumbnails, descriptions </w:t>
      </w:r>
      <w:r w:rsidRPr="00E730E4">
        <w:rPr>
          <w:noProof/>
        </w:rPr>
        <w:t>etc</w:t>
      </w:r>
      <w:r>
        <w:rPr>
          <w:noProof/>
        </w:rPr>
        <w:t>,</w:t>
      </w:r>
      <w:r w:rsidRPr="00E730E4">
        <w:rPr>
          <w:noProof/>
        </w:rPr>
        <w:t xml:space="preserve"> </w:t>
      </w:r>
      <w:r>
        <w:rPr>
          <w:noProof/>
        </w:rPr>
        <w:t>(</w:t>
      </w:r>
      <w:r w:rsidRPr="00E730E4">
        <w:rPr>
          <w:noProof/>
        </w:rPr>
        <w:t xml:space="preserve"> </w:t>
      </w:r>
      <w:r w:rsidR="004F78FD">
        <w:rPr>
          <w:noProof/>
        </w:rPr>
        <w:t>averaging three per page). These should appear</w:t>
      </w:r>
      <w:r>
        <w:rPr>
          <w:noProof/>
        </w:rPr>
        <w:t xml:space="preserve"> in the RHS content window in response to user clicks of the paged content. This </w:t>
      </w:r>
      <w:r w:rsidRPr="00E730E4">
        <w:rPr>
          <w:noProof/>
        </w:rPr>
        <w:t>content</w:t>
      </w:r>
      <w:r>
        <w:rPr>
          <w:noProof/>
        </w:rPr>
        <w:t xml:space="preserve"> links to IIIF media.</w:t>
      </w:r>
    </w:p>
    <w:p w:rsidR="00E730E4" w:rsidRDefault="00E730E4">
      <w:pPr>
        <w:rPr>
          <w:noProof/>
        </w:rPr>
      </w:pPr>
      <w:r w:rsidRPr="00E730E4">
        <w:rPr>
          <w:noProof/>
          <w:lang w:eastAsia="en-IE"/>
        </w:rPr>
        <w:lastRenderedPageBreak/>
        <w:drawing>
          <wp:inline distT="0" distB="0" distL="0" distR="0">
            <wp:extent cx="5731510" cy="8893326"/>
            <wp:effectExtent l="0" t="0" r="2540" b="3175"/>
            <wp:docPr id="1" name="Picture 1" descr="C:\Users\peter\Downloads\shau-digital-exhibition-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ownloads\shau-digital-exhibition-mock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FD" w:rsidRDefault="004F78FD" w:rsidP="004F78FD">
      <w:pPr>
        <w:pStyle w:val="Heading2"/>
        <w:rPr>
          <w:noProof/>
        </w:rPr>
      </w:pPr>
      <w:r>
        <w:rPr>
          <w:noProof/>
        </w:rPr>
        <w:lastRenderedPageBreak/>
        <w:t xml:space="preserve">Sample </w:t>
      </w:r>
    </w:p>
    <w:p w:rsidR="004F78FD" w:rsidRPr="004F78FD" w:rsidRDefault="004F78FD">
      <w:pPr>
        <w:rPr>
          <w:noProof/>
        </w:rPr>
      </w:pPr>
      <w:r>
        <w:rPr>
          <w:noProof/>
        </w:rPr>
        <w:t xml:space="preserve">Mainfest for first 10 pages of memoir: </w:t>
      </w:r>
      <w:r w:rsidRPr="004F78FD">
        <w:rPr>
          <w:rFonts w:ascii="Courier New" w:hAnsi="Courier New" w:cs="Courier New"/>
          <w:color w:val="000000"/>
          <w:sz w:val="20"/>
          <w:szCs w:val="20"/>
        </w:rPr>
        <w:t>http://lux.library.nuigalway.ie/assets/iiif/shaughnessy-memoir_1-12-1.json</w:t>
      </w:r>
    </w:p>
    <w:p w:rsidR="004F78FD" w:rsidRDefault="004F78FD" w:rsidP="004F78FD">
      <w:pPr>
        <w:pStyle w:val="Heading2"/>
      </w:pPr>
    </w:p>
    <w:p w:rsidR="00900F01" w:rsidRDefault="004F78FD" w:rsidP="004F78FD">
      <w:pPr>
        <w:pStyle w:val="Heading2"/>
      </w:pPr>
      <w:r>
        <w:t>In Scope:</w:t>
      </w:r>
    </w:p>
    <w:p w:rsidR="004F78FD" w:rsidRDefault="004F78FD" w:rsidP="004F78FD">
      <w:pPr>
        <w:pStyle w:val="ListParagraph"/>
        <w:numPr>
          <w:ilvl w:val="0"/>
          <w:numId w:val="2"/>
        </w:numPr>
      </w:pPr>
      <w:r>
        <w:t>Working Source code</w:t>
      </w:r>
    </w:p>
    <w:p w:rsidR="004F78FD" w:rsidRDefault="004F78FD" w:rsidP="004F78FD">
      <w:pPr>
        <w:pStyle w:val="ListParagraph"/>
        <w:numPr>
          <w:ilvl w:val="0"/>
          <w:numId w:val="2"/>
        </w:numPr>
      </w:pPr>
      <w:r>
        <w:t xml:space="preserve">HTML and </w:t>
      </w:r>
      <w:r>
        <w:t>CSS sufficient to enable functionality</w:t>
      </w:r>
    </w:p>
    <w:p w:rsidR="004F78FD" w:rsidRDefault="004F78FD" w:rsidP="004F78FD">
      <w:pPr>
        <w:pStyle w:val="ListParagraph"/>
        <w:numPr>
          <w:ilvl w:val="0"/>
          <w:numId w:val="2"/>
        </w:numPr>
      </w:pPr>
      <w:r>
        <w:t>Brief Documentation</w:t>
      </w:r>
    </w:p>
    <w:p w:rsidR="004F78FD" w:rsidRDefault="004F78FD" w:rsidP="004F78FD">
      <w:pPr>
        <w:pStyle w:val="ListParagraph"/>
        <w:numPr>
          <w:ilvl w:val="0"/>
          <w:numId w:val="2"/>
        </w:numPr>
      </w:pPr>
      <w:r>
        <w:t>Small amount of Telephone Assistance</w:t>
      </w:r>
    </w:p>
    <w:p w:rsidR="004F78FD" w:rsidRDefault="004F78FD" w:rsidP="004F78FD">
      <w:pPr>
        <w:pStyle w:val="ListParagraph"/>
      </w:pPr>
    </w:p>
    <w:p w:rsidR="004F78FD" w:rsidRDefault="004F78FD" w:rsidP="004F78FD">
      <w:pPr>
        <w:pStyle w:val="Heading2"/>
      </w:pPr>
      <w:r>
        <w:t>Out of Scope</w:t>
      </w:r>
    </w:p>
    <w:p w:rsidR="004F78FD" w:rsidRDefault="004F78FD" w:rsidP="004F78FD">
      <w:pPr>
        <w:pStyle w:val="ListParagraph"/>
        <w:numPr>
          <w:ilvl w:val="0"/>
          <w:numId w:val="3"/>
        </w:numPr>
      </w:pPr>
      <w:r>
        <w:t xml:space="preserve">Design, branding </w:t>
      </w:r>
      <w:proofErr w:type="spellStart"/>
      <w:r>
        <w:t>etc</w:t>
      </w:r>
      <w:proofErr w:type="spellEnd"/>
    </w:p>
    <w:p w:rsidR="004F78FD" w:rsidRDefault="004F78FD" w:rsidP="004F78FD">
      <w:pPr>
        <w:pStyle w:val="ListParagraph"/>
        <w:numPr>
          <w:ilvl w:val="0"/>
          <w:numId w:val="3"/>
        </w:numPr>
      </w:pPr>
      <w:r>
        <w:t>Content assembly and integration.</w:t>
      </w:r>
    </w:p>
    <w:sectPr w:rsidR="004F78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3D8E"/>
    <w:multiLevelType w:val="hybridMultilevel"/>
    <w:tmpl w:val="70C47C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16D37"/>
    <w:multiLevelType w:val="hybridMultilevel"/>
    <w:tmpl w:val="4BECFE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547C"/>
    <w:multiLevelType w:val="multilevel"/>
    <w:tmpl w:val="1FDE0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01"/>
    <w:rsid w:val="00050550"/>
    <w:rsid w:val="004F78FD"/>
    <w:rsid w:val="005436E8"/>
    <w:rsid w:val="00900F01"/>
    <w:rsid w:val="00E126F0"/>
    <w:rsid w:val="00E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23AD2-D227-4041-83D7-2ABA1FEF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0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Corrigan, Peter</dc:creator>
  <cp:keywords/>
  <dc:description/>
  <cp:lastModifiedBy>Corrigan, Peter</cp:lastModifiedBy>
  <cp:revision>6</cp:revision>
  <dcterms:created xsi:type="dcterms:W3CDTF">2017-06-26T10:58:00Z</dcterms:created>
  <dcterms:modified xsi:type="dcterms:W3CDTF">2017-06-26T12:36:00Z</dcterms:modified>
</cp:coreProperties>
</file>