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9C" w:rsidRPr="006B77A5" w:rsidRDefault="0052209C" w:rsidP="004731A8">
      <w:pPr>
        <w:pStyle w:val="Heading1"/>
        <w:jc w:val="center"/>
        <w:rPr>
          <w:sz w:val="36"/>
          <w:szCs w:val="36"/>
        </w:rPr>
      </w:pPr>
      <w:r w:rsidRPr="006B77A5">
        <w:rPr>
          <w:sz w:val="36"/>
          <w:szCs w:val="36"/>
        </w:rPr>
        <w:t>DIGISURVOR Workshop: Summary &amp; Next steps</w:t>
      </w:r>
    </w:p>
    <w:p w:rsidR="0052209C" w:rsidRPr="00522EFB" w:rsidRDefault="0052209C" w:rsidP="0052209C">
      <w:pPr>
        <w:rPr>
          <w:b/>
        </w:rPr>
      </w:pPr>
    </w:p>
    <w:p w:rsidR="0052209C" w:rsidRPr="0052209C" w:rsidRDefault="0052209C" w:rsidP="0052209C">
      <w:pPr>
        <w:pStyle w:val="Heading1"/>
      </w:pPr>
      <w:r w:rsidRPr="0052209C">
        <w:t>Different models of DTD and survey data linkage collection and access</w:t>
      </w:r>
    </w:p>
    <w:p w:rsidR="00522EFB" w:rsidRDefault="00522EFB" w:rsidP="0052209C">
      <w:r>
        <w:t xml:space="preserve">There are a range of models for DTD and </w:t>
      </w:r>
      <w:proofErr w:type="gramStart"/>
      <w:r>
        <w:t>survey data linkage collection</w:t>
      </w:r>
      <w:proofErr w:type="gramEnd"/>
      <w:r>
        <w:t xml:space="preserve">, access and archiving. At the smallest scale are individual projects, </w:t>
      </w:r>
      <w:proofErr w:type="gramStart"/>
      <w:r>
        <w:t>these then scale</w:t>
      </w:r>
      <w:proofErr w:type="gramEnd"/>
      <w:r>
        <w:t xml:space="preserve"> up to nationally provided infrastructure. The </w:t>
      </w:r>
      <w:proofErr w:type="gramStart"/>
      <w:r>
        <w:t>5</w:t>
      </w:r>
      <w:proofErr w:type="gramEnd"/>
      <w:r>
        <w:t xml:space="preserve"> models </w:t>
      </w:r>
      <w:r w:rsidR="006C294E">
        <w:t xml:space="preserve">with some examples of each variant </w:t>
      </w:r>
      <w:r>
        <w:t>are outlined below.</w:t>
      </w:r>
    </w:p>
    <w:p w:rsidR="000C77CF" w:rsidRPr="0052209C" w:rsidRDefault="009D49D5" w:rsidP="00522EFB">
      <w:pPr>
        <w:pStyle w:val="ListParagraph"/>
        <w:numPr>
          <w:ilvl w:val="0"/>
          <w:numId w:val="18"/>
        </w:numPr>
      </w:pPr>
      <w:r w:rsidRPr="0052209C">
        <w:t xml:space="preserve">Decentralised /distributed projects collecting linked DTD and survey data. </w:t>
      </w:r>
      <w:proofErr w:type="spellStart"/>
      <w:r w:rsidRPr="0052209C">
        <w:t>E.g</w:t>
      </w:r>
      <w:proofErr w:type="spellEnd"/>
      <w:r w:rsidRPr="0052209C">
        <w:t xml:space="preserve"> DiCED</w:t>
      </w:r>
    </w:p>
    <w:p w:rsidR="000C77CF" w:rsidRPr="0052209C" w:rsidRDefault="009D49D5" w:rsidP="00522EFB">
      <w:pPr>
        <w:pStyle w:val="ListParagraph"/>
        <w:numPr>
          <w:ilvl w:val="0"/>
          <w:numId w:val="18"/>
        </w:numPr>
      </w:pPr>
      <w:r w:rsidRPr="0052209C">
        <w:t xml:space="preserve">Data donation resource centres – software provision / open source to enable and support data linkage. </w:t>
      </w:r>
      <w:proofErr w:type="spellStart"/>
      <w:r w:rsidRPr="0052209C">
        <w:t>E.g</w:t>
      </w:r>
      <w:proofErr w:type="spellEnd"/>
      <w:r w:rsidRPr="0052209C">
        <w:t xml:space="preserve"> D31</w:t>
      </w:r>
    </w:p>
    <w:p w:rsidR="000C77CF" w:rsidRPr="0052209C" w:rsidRDefault="009D49D5" w:rsidP="00522EFB">
      <w:pPr>
        <w:pStyle w:val="ListParagraph"/>
        <w:numPr>
          <w:ilvl w:val="0"/>
          <w:numId w:val="18"/>
        </w:numPr>
      </w:pPr>
      <w:r w:rsidRPr="0052209C">
        <w:t xml:space="preserve">Platform provided option SOMAR at ICSPR/Michigan – again vetting process and ‘clean room’ built to allow </w:t>
      </w:r>
      <w:proofErr w:type="gramStart"/>
      <w:r w:rsidRPr="0052209C">
        <w:t>for approved</w:t>
      </w:r>
      <w:proofErr w:type="gramEnd"/>
      <w:r w:rsidRPr="0052209C">
        <w:t xml:space="preserve"> researchers to use the data.</w:t>
      </w:r>
    </w:p>
    <w:p w:rsidR="00522EFB" w:rsidRPr="0052209C" w:rsidRDefault="009D49D5" w:rsidP="00522EFB">
      <w:pPr>
        <w:pStyle w:val="ListParagraph"/>
        <w:numPr>
          <w:ilvl w:val="0"/>
          <w:numId w:val="18"/>
        </w:numPr>
      </w:pPr>
      <w:r w:rsidRPr="0052209C">
        <w:t>Commercially provided option panels – proprietary /paid for access. Managed in house, ethical compliance systems internal e.g. IPSOS</w:t>
      </w:r>
    </w:p>
    <w:p w:rsidR="00522EFB" w:rsidRPr="0052209C" w:rsidRDefault="00522EFB" w:rsidP="00522EFB">
      <w:pPr>
        <w:pStyle w:val="ListParagraph"/>
        <w:numPr>
          <w:ilvl w:val="0"/>
          <w:numId w:val="18"/>
        </w:numPr>
      </w:pPr>
      <w:r w:rsidRPr="0052209C">
        <w:t>Centralised research/</w:t>
      </w:r>
      <w:proofErr w:type="spellStart"/>
      <w:proofErr w:type="gramStart"/>
      <w:r w:rsidRPr="0052209C">
        <w:t>non profit</w:t>
      </w:r>
      <w:proofErr w:type="spellEnd"/>
      <w:proofErr w:type="gramEnd"/>
      <w:r w:rsidRPr="0052209C">
        <w:t xml:space="preserve"> providers at the national level being established based on some model of DD and some system of user accreditation – secure environment - to allow access and analysis of data. Export permitted only at aggregate level. E.g. NIO, SDDS</w:t>
      </w:r>
    </w:p>
    <w:p w:rsidR="0052209C" w:rsidRDefault="0052209C" w:rsidP="0052209C">
      <w:pPr>
        <w:pStyle w:val="Heading1"/>
      </w:pPr>
      <w:proofErr w:type="gramStart"/>
      <w:r w:rsidRPr="0052209C">
        <w:t>Open research data challenge</w:t>
      </w:r>
      <w:r w:rsidR="006C294E">
        <w:t xml:space="preserve"> – where does Digisurvor fit?</w:t>
      </w:r>
      <w:proofErr w:type="gramEnd"/>
    </w:p>
    <w:p w:rsidR="004A3620" w:rsidRDefault="004A3620" w:rsidP="0052209C">
      <w:r>
        <w:t xml:space="preserve">All of the above </w:t>
      </w:r>
      <w:r w:rsidR="00FF0447">
        <w:t xml:space="preserve">models </w:t>
      </w:r>
      <w:r>
        <w:t>face</w:t>
      </w:r>
      <w:r w:rsidR="006C294E">
        <w:t xml:space="preserve"> </w:t>
      </w:r>
      <w:r>
        <w:t>challenges in terms of converting the augmented data t</w:t>
      </w:r>
      <w:r w:rsidR="000D197C">
        <w:t xml:space="preserve">o allow for secondary analysis by external users, and do not have a plan </w:t>
      </w:r>
      <w:proofErr w:type="gramStart"/>
      <w:r w:rsidR="000D197C">
        <w:t>so</w:t>
      </w:r>
      <w:proofErr w:type="gramEnd"/>
      <w:r w:rsidR="000D197C">
        <w:t xml:space="preserve"> far as we know as to how these data can be made fully open access. The main constraints </w:t>
      </w:r>
      <w:proofErr w:type="gramStart"/>
      <w:r w:rsidR="00EA5A96">
        <w:t>can be seen</w:t>
      </w:r>
      <w:proofErr w:type="gramEnd"/>
      <w:r w:rsidR="00EA5A96">
        <w:t xml:space="preserve"> </w:t>
      </w:r>
      <w:r w:rsidR="00FF0447">
        <w:t xml:space="preserve">as at least four-fold. Firstly, </w:t>
      </w:r>
      <w:r w:rsidR="000D197C">
        <w:t xml:space="preserve">maintaining respondent privacy and anonymity, </w:t>
      </w:r>
      <w:r w:rsidR="00EA5A96">
        <w:t xml:space="preserve">and </w:t>
      </w:r>
      <w:r w:rsidR="000D197C">
        <w:t xml:space="preserve">gaining informed consent </w:t>
      </w:r>
      <w:r w:rsidR="00EA5A96">
        <w:t xml:space="preserve">are key to the success of such a project. However, </w:t>
      </w:r>
      <w:r w:rsidR="000D197C">
        <w:t xml:space="preserve">creating new data that is sufficiently interesting and nuanced or useful to </w:t>
      </w:r>
      <w:r w:rsidR="00EA5A96">
        <w:t xml:space="preserve">enhance the </w:t>
      </w:r>
      <w:proofErr w:type="gramStart"/>
      <w:r w:rsidR="00EA5A96">
        <w:t>researchers</w:t>
      </w:r>
      <w:proofErr w:type="gramEnd"/>
      <w:r w:rsidR="00EA5A96">
        <w:t xml:space="preserve"> purposes is also critical. There are also the issues of </w:t>
      </w:r>
      <w:r w:rsidR="00FF0447">
        <w:t xml:space="preserve">underlying bias and the integrity and quality of the new DTD based variables to consider, they </w:t>
      </w:r>
      <w:proofErr w:type="gramStart"/>
      <w:r w:rsidR="00FF0447">
        <w:t>cannot simply be linked and released</w:t>
      </w:r>
      <w:proofErr w:type="gramEnd"/>
      <w:r w:rsidR="00FF0447">
        <w:t xml:space="preserve">. Some diagnostics and corrective measures are likely to be required. </w:t>
      </w:r>
      <w:proofErr w:type="gramStart"/>
      <w:r w:rsidR="00FF0447">
        <w:t>Finally</w:t>
      </w:r>
      <w:proofErr w:type="gramEnd"/>
      <w:r w:rsidR="00FF0447">
        <w:t xml:space="preserve"> to produce the data well as the </w:t>
      </w:r>
      <w:r w:rsidR="00EA5A96">
        <w:t xml:space="preserve">technical complexity and skills required for the production of the variables. </w:t>
      </w:r>
    </w:p>
    <w:p w:rsidR="00FF0447" w:rsidRDefault="00FF0447" w:rsidP="0052209C"/>
    <w:p w:rsidR="006B77A5" w:rsidRPr="004731A8" w:rsidRDefault="00FF0447" w:rsidP="004731A8">
      <w:pPr>
        <w:pStyle w:val="Heading2"/>
        <w:rPr>
          <w:sz w:val="24"/>
          <w:szCs w:val="24"/>
        </w:rPr>
      </w:pPr>
      <w:r w:rsidRPr="004731A8">
        <w:rPr>
          <w:sz w:val="24"/>
          <w:szCs w:val="24"/>
        </w:rPr>
        <w:t>How far are the current models set up to address the chall</w:t>
      </w:r>
      <w:r w:rsidR="004731A8" w:rsidRPr="004731A8">
        <w:rPr>
          <w:sz w:val="24"/>
          <w:szCs w:val="24"/>
        </w:rPr>
        <w:t>enge of sharing / open release</w:t>
      </w:r>
      <w:r w:rsidR="006B77A5">
        <w:rPr>
          <w:sz w:val="24"/>
          <w:szCs w:val="24"/>
        </w:rPr>
        <w:t xml:space="preserve"> of linked survey and DTD</w:t>
      </w:r>
      <w:bookmarkStart w:id="0" w:name="_GoBack"/>
      <w:bookmarkEnd w:id="0"/>
      <w:r w:rsidR="004731A8" w:rsidRPr="004731A8">
        <w:rPr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77A5" w:rsidTr="006B77A5">
        <w:tc>
          <w:tcPr>
            <w:tcW w:w="3005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Research </w:t>
            </w:r>
          </w:p>
        </w:tc>
        <w:tc>
          <w:tcPr>
            <w:tcW w:w="3006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2ndary analysis</w:t>
            </w:r>
          </w:p>
        </w:tc>
      </w:tr>
      <w:tr w:rsidR="006B77A5" w:rsidTr="006B77A5">
        <w:tc>
          <w:tcPr>
            <w:tcW w:w="3005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1</w:t>
            </w:r>
          </w:p>
        </w:tc>
        <w:tc>
          <w:tcPr>
            <w:tcW w:w="3005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3006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</w:tr>
      <w:tr w:rsidR="006B77A5" w:rsidTr="006B77A5">
        <w:tc>
          <w:tcPr>
            <w:tcW w:w="3005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2</w:t>
            </w:r>
          </w:p>
        </w:tc>
        <w:tc>
          <w:tcPr>
            <w:tcW w:w="3005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3006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</w:tr>
      <w:tr w:rsidR="006B77A5" w:rsidTr="006B77A5">
        <w:tc>
          <w:tcPr>
            <w:tcW w:w="3005" w:type="dxa"/>
          </w:tcPr>
          <w:p w:rsidR="006B77A5" w:rsidRDefault="006B77A5" w:rsidP="006B77A5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3</w:t>
            </w:r>
          </w:p>
        </w:tc>
        <w:tc>
          <w:tcPr>
            <w:tcW w:w="3005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3006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D6"/>
            </w:r>
          </w:p>
        </w:tc>
      </w:tr>
      <w:tr w:rsidR="006B77A5" w:rsidTr="006B77A5">
        <w:tc>
          <w:tcPr>
            <w:tcW w:w="3005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4</w:t>
            </w:r>
          </w:p>
        </w:tc>
        <w:tc>
          <w:tcPr>
            <w:tcW w:w="3005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3006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</w:tr>
      <w:tr w:rsidR="006B77A5" w:rsidTr="006B77A5">
        <w:tc>
          <w:tcPr>
            <w:tcW w:w="3005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5</w:t>
            </w:r>
          </w:p>
        </w:tc>
        <w:tc>
          <w:tcPr>
            <w:tcW w:w="3005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</w:p>
        </w:tc>
        <w:tc>
          <w:tcPr>
            <w:tcW w:w="3006" w:type="dxa"/>
          </w:tcPr>
          <w:p w:rsidR="006B77A5" w:rsidRDefault="006B77A5" w:rsidP="004731A8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D6"/>
            </w:r>
          </w:p>
        </w:tc>
      </w:tr>
    </w:tbl>
    <w:p w:rsidR="00FF0447" w:rsidRPr="004731A8" w:rsidRDefault="00FF0447" w:rsidP="004731A8">
      <w:pPr>
        <w:pStyle w:val="Heading2"/>
        <w:rPr>
          <w:sz w:val="24"/>
          <w:szCs w:val="24"/>
        </w:rPr>
      </w:pPr>
    </w:p>
    <w:p w:rsidR="00FF0447" w:rsidRDefault="006C294E" w:rsidP="0052209C">
      <w:r>
        <w:t xml:space="preserve">Model </w:t>
      </w:r>
      <w:r w:rsidR="004A3620">
        <w:t xml:space="preserve">(1) </w:t>
      </w:r>
      <w:r>
        <w:t xml:space="preserve">the distributed model </w:t>
      </w:r>
      <w:proofErr w:type="gramStart"/>
      <w:r>
        <w:t xml:space="preserve">is </w:t>
      </w:r>
      <w:r w:rsidR="0052209C" w:rsidRPr="0052209C">
        <w:t xml:space="preserve">typically not focused /resourced to </w:t>
      </w:r>
      <w:r>
        <w:t>enable open dataset production</w:t>
      </w:r>
      <w:proofErr w:type="gramEnd"/>
      <w:r>
        <w:t xml:space="preserve">. </w:t>
      </w:r>
      <w:proofErr w:type="gramStart"/>
      <w:r w:rsidR="00DE4EE2">
        <w:t>It is only the data owners that have access to the datasets.</w:t>
      </w:r>
      <w:proofErr w:type="gramEnd"/>
      <w:r w:rsidR="00DE4EE2">
        <w:t xml:space="preserve"> </w:t>
      </w:r>
    </w:p>
    <w:p w:rsidR="00FF0447" w:rsidRDefault="006C294E" w:rsidP="0052209C">
      <w:r>
        <w:t xml:space="preserve">Model (2) is not designed for data collection or archiving/repository and thus </w:t>
      </w:r>
      <w:proofErr w:type="gramStart"/>
      <w:r>
        <w:t>doesn’t</w:t>
      </w:r>
      <w:proofErr w:type="gramEnd"/>
      <w:r>
        <w:t xml:space="preserve"> directly confront the task of conversion of DD into shareable format. </w:t>
      </w:r>
    </w:p>
    <w:p w:rsidR="00FF0447" w:rsidRDefault="006C294E" w:rsidP="0052209C">
      <w:r>
        <w:lastRenderedPageBreak/>
        <w:t xml:space="preserve">Model (4) while it generates linked data is not under a funding obligation to provide those data for open access and arguably commercial incentives mean that it is </w:t>
      </w:r>
      <w:r w:rsidR="004D17AE">
        <w:t xml:space="preserve">unlikely to prioritise this. </w:t>
      </w:r>
    </w:p>
    <w:p w:rsidR="00FF0447" w:rsidRDefault="004D17AE" w:rsidP="0052209C">
      <w:r>
        <w:t xml:space="preserve">Models (3) </w:t>
      </w:r>
      <w:r w:rsidR="004A3620">
        <w:t xml:space="preserve">and (5) </w:t>
      </w:r>
      <w:r w:rsidR="00DE4EE2">
        <w:t>the</w:t>
      </w:r>
      <w:r w:rsidR="00FF0447">
        <w:t xml:space="preserve"> platform partnerships and independent n</w:t>
      </w:r>
      <w:r w:rsidR="0052209C" w:rsidRPr="0052209C">
        <w:t>ational non</w:t>
      </w:r>
      <w:r w:rsidR="00FF0447">
        <w:t xml:space="preserve">-profit Centres </w:t>
      </w:r>
      <w:r w:rsidR="00DE4EE2">
        <w:t xml:space="preserve">can develop </w:t>
      </w:r>
      <w:r w:rsidR="0052209C" w:rsidRPr="0052209C">
        <w:t xml:space="preserve">secure rooms </w:t>
      </w:r>
      <w:r w:rsidR="00DE4EE2">
        <w:t>that allow for a limited pool of approved researchers to access the data. T</w:t>
      </w:r>
      <w:r w:rsidR="0052209C" w:rsidRPr="0052209C">
        <w:t xml:space="preserve">his </w:t>
      </w:r>
      <w:r w:rsidR="00DE4EE2">
        <w:t xml:space="preserve">works to open up the data for </w:t>
      </w:r>
      <w:r w:rsidR="0052209C" w:rsidRPr="0052209C">
        <w:t xml:space="preserve">an extent but still operate limited system of access, privileged </w:t>
      </w:r>
      <w:r w:rsidR="00FF0447">
        <w:t xml:space="preserve">access for approved researchers. This type of approach also does not address the growing requirements of </w:t>
      </w:r>
      <w:r w:rsidR="0052209C" w:rsidRPr="0052209C">
        <w:t xml:space="preserve">Journals </w:t>
      </w:r>
      <w:r w:rsidR="00FF0447">
        <w:t xml:space="preserve">for </w:t>
      </w:r>
      <w:r w:rsidR="0052209C" w:rsidRPr="0052209C">
        <w:t xml:space="preserve">datasets to </w:t>
      </w:r>
      <w:proofErr w:type="gramStart"/>
      <w:r w:rsidR="0052209C" w:rsidRPr="0052209C">
        <w:t>be deposited</w:t>
      </w:r>
      <w:proofErr w:type="gramEnd"/>
      <w:r w:rsidR="0052209C" w:rsidRPr="0052209C">
        <w:t xml:space="preserve"> for re-analysis</w:t>
      </w:r>
      <w:r w:rsidR="00FF0447">
        <w:t xml:space="preserve">. Also datasets collected </w:t>
      </w:r>
      <w:r w:rsidR="0052209C" w:rsidRPr="0052209C">
        <w:t xml:space="preserve">using public funds </w:t>
      </w:r>
      <w:proofErr w:type="gramStart"/>
      <w:r w:rsidR="0052209C" w:rsidRPr="0052209C">
        <w:t>are required to be deposited</w:t>
      </w:r>
      <w:proofErr w:type="gramEnd"/>
      <w:r w:rsidR="0052209C" w:rsidRPr="0052209C">
        <w:t xml:space="preserve"> at National Archives, UKDS. E.g. national and international infrastructure surveys – BES, US, ESS if they develop a linkage component how do we equip them to </w:t>
      </w:r>
      <w:proofErr w:type="gramStart"/>
      <w:r w:rsidR="0052209C" w:rsidRPr="0052209C">
        <w:t>be shared</w:t>
      </w:r>
      <w:proofErr w:type="gramEnd"/>
      <w:r w:rsidR="0052209C" w:rsidRPr="0052209C">
        <w:t xml:space="preserve"> if they include linked data. </w:t>
      </w:r>
      <w:r w:rsidR="00FF0447">
        <w:t>An example of this for the 2020-22 ANES Social Media study under Model (3) can be found here</w:t>
      </w:r>
      <w:r w:rsidR="00FF0447" w:rsidRPr="00FF0447">
        <w:t xml:space="preserve"> </w:t>
      </w:r>
      <w:hyperlink r:id="rId5" w:history="1">
        <w:r w:rsidR="00FF0447" w:rsidRPr="000C5B70">
          <w:rPr>
            <w:rStyle w:val="Hyperlink"/>
          </w:rPr>
          <w:t>https://electionstudies.org/data-center/2020-2022-social-media-study/</w:t>
        </w:r>
      </w:hyperlink>
      <w:r w:rsidR="00FF0447">
        <w:t xml:space="preserve"> and the codebook of variables</w:t>
      </w:r>
      <w:r w:rsidR="004731A8">
        <w:t xml:space="preserve"> produced</w:t>
      </w:r>
      <w:r w:rsidR="00FF0447">
        <w:t xml:space="preserve"> </w:t>
      </w:r>
      <w:hyperlink r:id="rId6" w:history="1">
        <w:r w:rsidR="00FF0447" w:rsidRPr="000C5B70">
          <w:rPr>
            <w:rStyle w:val="Hyperlink"/>
          </w:rPr>
          <w:t>https://electionstudies.org/wp-content/uploads/2023/06/anes_specialstudy_2020_socialmedia_restricted_use_facebook_data_codebook_20230602.pdf</w:t>
        </w:r>
      </w:hyperlink>
      <w:r w:rsidR="00FF0447">
        <w:t xml:space="preserve"> </w:t>
      </w:r>
    </w:p>
    <w:p w:rsidR="00FF0447" w:rsidRDefault="00FF0447" w:rsidP="0052209C"/>
    <w:p w:rsidR="00FF0447" w:rsidRDefault="004731A8" w:rsidP="0052209C">
      <w:r>
        <w:t xml:space="preserve">To date, this appears to be the only </w:t>
      </w:r>
      <w:r w:rsidR="0052209C" w:rsidRPr="0052209C">
        <w:t xml:space="preserve">model for extracting variables from DTD that value add that can be made ‘public’ or at least shareable with a broader range of users working outside a </w:t>
      </w:r>
      <w:proofErr w:type="spellStart"/>
      <w:r w:rsidR="0052209C" w:rsidRPr="0052209C">
        <w:t>safepod</w:t>
      </w:r>
      <w:proofErr w:type="spellEnd"/>
      <w:r w:rsidR="0052209C" w:rsidRPr="0052209C">
        <w:t xml:space="preserve"> or controlled environment. </w:t>
      </w:r>
    </w:p>
    <w:p w:rsidR="00FF0447" w:rsidRDefault="00FF0447" w:rsidP="0052209C"/>
    <w:p w:rsidR="0052209C" w:rsidRDefault="004731A8" w:rsidP="0052209C">
      <w:r>
        <w:t xml:space="preserve">However, it is quite limited in the variables that </w:t>
      </w:r>
      <w:proofErr w:type="gramStart"/>
      <w:r>
        <w:t>are extracted</w:t>
      </w:r>
      <w:proofErr w:type="gramEnd"/>
      <w:r>
        <w:t xml:space="preserve"> so while they meet the anonymity criteria, whether they meet the utility or usability in full is questionable? </w:t>
      </w:r>
      <w:proofErr w:type="gramStart"/>
      <w:r>
        <w:t>Also</w:t>
      </w:r>
      <w:proofErr w:type="gramEnd"/>
      <w:r>
        <w:t xml:space="preserve"> there is no obvious attempt in this public release dataset of </w:t>
      </w:r>
      <w:r w:rsidR="0052209C" w:rsidRPr="0052209C">
        <w:t xml:space="preserve">criteria </w:t>
      </w:r>
      <w:r>
        <w:t xml:space="preserve">being used </w:t>
      </w:r>
      <w:r w:rsidR="0052209C" w:rsidRPr="0052209C">
        <w:t>to measure the robustness of that data – bias detection and correction.</w:t>
      </w:r>
      <w:r>
        <w:t xml:space="preserve"> No code </w:t>
      </w:r>
      <w:proofErr w:type="gramStart"/>
      <w:r>
        <w:t>is released</w:t>
      </w:r>
      <w:proofErr w:type="gramEnd"/>
      <w:r>
        <w:t xml:space="preserve"> to allow others to replicate the work. </w:t>
      </w:r>
    </w:p>
    <w:p w:rsidR="004731A8" w:rsidRPr="0052209C" w:rsidRDefault="004731A8" w:rsidP="004731A8">
      <w:pPr>
        <w:pStyle w:val="Heading1"/>
      </w:pPr>
      <w:r>
        <w:t>Summary</w:t>
      </w:r>
    </w:p>
    <w:p w:rsidR="004731A8" w:rsidRDefault="004731A8" w:rsidP="004731A8">
      <w:r>
        <w:t>This workshop helpful to locating DIGISURVOR project in that space</w:t>
      </w:r>
      <w:r>
        <w:t xml:space="preserve">. </w:t>
      </w:r>
    </w:p>
    <w:p w:rsidR="004731A8" w:rsidRDefault="004731A8" w:rsidP="004731A8">
      <w:pPr>
        <w:pStyle w:val="ListParagraph"/>
        <w:numPr>
          <w:ilvl w:val="0"/>
          <w:numId w:val="19"/>
        </w:numPr>
      </w:pPr>
      <w:r>
        <w:t xml:space="preserve">Currently </w:t>
      </w:r>
      <w:r>
        <w:t xml:space="preserve">data sharing and open access are an </w:t>
      </w:r>
      <w:proofErr w:type="gramStart"/>
      <w:r>
        <w:t>end point</w:t>
      </w:r>
      <w:proofErr w:type="gramEnd"/>
      <w:r>
        <w:t xml:space="preserve"> in the cycle and largely an </w:t>
      </w:r>
      <w:proofErr w:type="spellStart"/>
      <w:r>
        <w:t>after thought</w:t>
      </w:r>
      <w:proofErr w:type="spellEnd"/>
      <w:r>
        <w:t xml:space="preserve"> rather than a primary concern.</w:t>
      </w:r>
    </w:p>
    <w:p w:rsidR="004731A8" w:rsidRDefault="004731A8" w:rsidP="004731A8">
      <w:pPr>
        <w:pStyle w:val="ListParagraph"/>
        <w:numPr>
          <w:ilvl w:val="0"/>
          <w:numId w:val="19"/>
        </w:numPr>
      </w:pPr>
      <w:r>
        <w:t xml:space="preserve">Our project is likely to recommend this thinking </w:t>
      </w:r>
      <w:proofErr w:type="gramStart"/>
      <w:r>
        <w:t xml:space="preserve">is </w:t>
      </w:r>
      <w:r>
        <w:t>built into or baked into the linkage process</w:t>
      </w:r>
      <w:proofErr w:type="gramEnd"/>
      <w:r>
        <w:t xml:space="preserve">. </w:t>
      </w:r>
      <w:proofErr w:type="spellStart"/>
      <w:proofErr w:type="gramStart"/>
      <w:r>
        <w:t>i.e</w:t>
      </w:r>
      <w:proofErr w:type="spellEnd"/>
      <w:proofErr w:type="gramEnd"/>
      <w:r>
        <w:t xml:space="preserve"> all models 1-5 need to consider w</w:t>
      </w:r>
      <w:r>
        <w:t xml:space="preserve">hat types of standardized and anonymized data should data producers generate as part of their project so that they can share it? </w:t>
      </w:r>
    </w:p>
    <w:p w:rsidR="004731A8" w:rsidRDefault="004731A8" w:rsidP="004731A8">
      <w:pPr>
        <w:pStyle w:val="ListParagraph"/>
        <w:numPr>
          <w:ilvl w:val="0"/>
          <w:numId w:val="19"/>
        </w:numPr>
      </w:pPr>
      <w:r>
        <w:t xml:space="preserve">If we think about current users for these linked </w:t>
      </w:r>
      <w:proofErr w:type="gramStart"/>
      <w:r>
        <w:t>data</w:t>
      </w:r>
      <w:proofErr w:type="gramEnd"/>
      <w:r>
        <w:t xml:space="preserve"> it follows a tiered or </w:t>
      </w:r>
      <w:proofErr w:type="spellStart"/>
      <w:r>
        <w:t>hierararchical</w:t>
      </w:r>
      <w:proofErr w:type="spellEnd"/>
      <w:r>
        <w:t xml:space="preserve"> model </w:t>
      </w:r>
      <w:r>
        <w:t xml:space="preserve">of access. </w:t>
      </w:r>
    </w:p>
    <w:p w:rsidR="004731A8" w:rsidRDefault="004731A8" w:rsidP="004731A8">
      <w:pPr>
        <w:pStyle w:val="ListParagraph"/>
        <w:numPr>
          <w:ilvl w:val="0"/>
          <w:numId w:val="20"/>
        </w:numPr>
      </w:pPr>
      <w:r>
        <w:t xml:space="preserve">Inner core data owners/controllers; </w:t>
      </w:r>
    </w:p>
    <w:p w:rsidR="004731A8" w:rsidRDefault="004731A8" w:rsidP="004731A8">
      <w:pPr>
        <w:pStyle w:val="ListParagraph"/>
        <w:numPr>
          <w:ilvl w:val="0"/>
          <w:numId w:val="20"/>
        </w:numPr>
      </w:pPr>
      <w:r>
        <w:t xml:space="preserve">Approved </w:t>
      </w:r>
      <w:r>
        <w:t>users in controlled environment</w:t>
      </w:r>
    </w:p>
    <w:p w:rsidR="004731A8" w:rsidRPr="004731A8" w:rsidRDefault="004731A8" w:rsidP="004731A8">
      <w:pPr>
        <w:pStyle w:val="ListParagraph"/>
        <w:numPr>
          <w:ilvl w:val="0"/>
          <w:numId w:val="20"/>
        </w:numPr>
        <w:rPr>
          <w:highlight w:val="yellow"/>
        </w:rPr>
      </w:pPr>
      <w:r w:rsidRPr="004731A8">
        <w:rPr>
          <w:highlight w:val="yellow"/>
        </w:rPr>
        <w:t xml:space="preserve">Approved users in uncontrolled environment; </w:t>
      </w:r>
      <w:r>
        <w:rPr>
          <w:highlight w:val="yellow"/>
        </w:rPr>
        <w:t>DIGISURVOR focus</w:t>
      </w:r>
    </w:p>
    <w:p w:rsidR="0052209C" w:rsidRDefault="004731A8" w:rsidP="004731A8">
      <w:pPr>
        <w:pStyle w:val="ListParagraph"/>
        <w:numPr>
          <w:ilvl w:val="0"/>
          <w:numId w:val="20"/>
        </w:numPr>
      </w:pPr>
      <w:r>
        <w:t>Fully open data</w:t>
      </w:r>
    </w:p>
    <w:p w:rsidR="00522EFB" w:rsidRDefault="00522EFB" w:rsidP="00522EFB">
      <w:pPr>
        <w:pStyle w:val="Heading1"/>
      </w:pPr>
      <w:r>
        <w:t>Next Steps</w:t>
      </w:r>
      <w:r w:rsidR="004731A8">
        <w:t xml:space="preserve"> for the Group/Building the network</w:t>
      </w:r>
    </w:p>
    <w:p w:rsidR="000C77CF" w:rsidRPr="0052209C" w:rsidRDefault="009D49D5" w:rsidP="004731A8">
      <w:proofErr w:type="spellStart"/>
      <w:r w:rsidRPr="0052209C">
        <w:t>Github</w:t>
      </w:r>
      <w:proofErr w:type="spellEnd"/>
      <w:r w:rsidRPr="0052209C">
        <w:t xml:space="preserve"> repository – share documents /code/outputs e.g. MIV variable list coded structural/substantive/validating, and by complexity, reliability and usability; conference paper; </w:t>
      </w:r>
    </w:p>
    <w:p w:rsidR="000C77CF" w:rsidRPr="0052209C" w:rsidRDefault="009D49D5" w:rsidP="0052209C">
      <w:r w:rsidRPr="0052209C">
        <w:t xml:space="preserve">Workshop No.2 12 </w:t>
      </w:r>
      <w:proofErr w:type="spellStart"/>
      <w:r w:rsidRPr="0052209C">
        <w:t>months time</w:t>
      </w:r>
      <w:proofErr w:type="spellEnd"/>
      <w:r w:rsidRPr="0052209C">
        <w:t xml:space="preserve"> – </w:t>
      </w:r>
      <w:proofErr w:type="gramStart"/>
      <w:r w:rsidRPr="0052209C">
        <w:t>report back</w:t>
      </w:r>
      <w:proofErr w:type="gramEnd"/>
      <w:r w:rsidRPr="0052209C">
        <w:t xml:space="preserve"> on our progress and your progress! </w:t>
      </w:r>
    </w:p>
    <w:p w:rsidR="000C77CF" w:rsidRPr="0052209C" w:rsidRDefault="009D49D5" w:rsidP="0052209C">
      <w:r w:rsidRPr="0052209C">
        <w:t xml:space="preserve">Building a network of interested researchers </w:t>
      </w:r>
    </w:p>
    <w:p w:rsidR="006B77A5" w:rsidRDefault="006B77A5">
      <w:pPr>
        <w:spacing w:after="120" w:line="264" w:lineRule="auto"/>
      </w:pPr>
      <w:r>
        <w:br w:type="page"/>
      </w:r>
    </w:p>
    <w:p w:rsidR="006B77A5" w:rsidRDefault="006B77A5" w:rsidP="006B77A5">
      <w:pPr>
        <w:pStyle w:val="Heading1"/>
        <w:jc w:val="center"/>
      </w:pPr>
      <w:r>
        <w:t>Key takeaways from group discussions of 4 questions</w:t>
      </w:r>
    </w:p>
    <w:p w:rsidR="006B77A5" w:rsidRPr="006B77A5" w:rsidRDefault="006B77A5" w:rsidP="006B77A5">
      <w:pPr>
        <w:numPr>
          <w:ilvl w:val="0"/>
          <w:numId w:val="7"/>
        </w:numPr>
        <w:ind w:hanging="720"/>
        <w:rPr>
          <w:rFonts w:asciiTheme="majorHAnsi" w:eastAsiaTheme="majorEastAsia" w:hAnsiTheme="majorHAnsi" w:cstheme="majorBidi"/>
          <w:b/>
          <w:sz w:val="24"/>
          <w:szCs w:val="24"/>
        </w:rPr>
      </w:pPr>
      <w:r w:rsidRPr="006B77A5">
        <w:rPr>
          <w:rFonts w:asciiTheme="majorHAnsi" w:eastAsiaTheme="majorEastAsia" w:hAnsiTheme="majorHAnsi" w:cstheme="majorBidi"/>
          <w:b/>
          <w:sz w:val="24"/>
          <w:szCs w:val="24"/>
        </w:rPr>
        <w:t>Do our variables capture the main characteristics of interest regarding individuals’ Twitter use?</w:t>
      </w:r>
    </w:p>
    <w:p w:rsidR="006B77A5" w:rsidRPr="006B77A5" w:rsidRDefault="006B77A5" w:rsidP="006B77A5">
      <w:pPr>
        <w:numPr>
          <w:ilvl w:val="0"/>
          <w:numId w:val="12"/>
        </w:numPr>
        <w:rPr>
          <w:szCs w:val="22"/>
        </w:rPr>
      </w:pPr>
      <w:proofErr w:type="gramStart"/>
      <w:r w:rsidRPr="006B77A5">
        <w:rPr>
          <w:szCs w:val="22"/>
        </w:rPr>
        <w:t>Are respondents in Echo chambers or filter bubbles?</w:t>
      </w:r>
      <w:proofErr w:type="gramEnd"/>
    </w:p>
    <w:p w:rsidR="006B77A5" w:rsidRPr="006B77A5" w:rsidRDefault="006B77A5" w:rsidP="006B77A5">
      <w:pPr>
        <w:numPr>
          <w:ilvl w:val="0"/>
          <w:numId w:val="12"/>
        </w:numPr>
        <w:rPr>
          <w:szCs w:val="22"/>
        </w:rPr>
      </w:pPr>
      <w:r w:rsidRPr="006B77A5">
        <w:rPr>
          <w:szCs w:val="22"/>
        </w:rPr>
        <w:t>More on topics (within politics, and outside-politics)</w:t>
      </w:r>
    </w:p>
    <w:p w:rsidR="006B77A5" w:rsidRPr="006B77A5" w:rsidRDefault="006B77A5" w:rsidP="006B77A5">
      <w:pPr>
        <w:numPr>
          <w:ilvl w:val="0"/>
          <w:numId w:val="12"/>
        </w:numPr>
        <w:rPr>
          <w:szCs w:val="22"/>
        </w:rPr>
      </w:pPr>
      <w:r w:rsidRPr="006B77A5">
        <w:rPr>
          <w:szCs w:val="22"/>
        </w:rPr>
        <w:t>Personal vs. work focus of activity</w:t>
      </w:r>
    </w:p>
    <w:p w:rsidR="006B77A5" w:rsidRPr="006B77A5" w:rsidRDefault="006B77A5" w:rsidP="006B77A5">
      <w:pPr>
        <w:numPr>
          <w:ilvl w:val="0"/>
          <w:numId w:val="12"/>
        </w:numPr>
        <w:rPr>
          <w:szCs w:val="22"/>
        </w:rPr>
      </w:pPr>
      <w:r w:rsidRPr="006B77A5">
        <w:rPr>
          <w:szCs w:val="22"/>
        </w:rPr>
        <w:t xml:space="preserve">Moderation activities, are they admins or moderators, do they report content, contribute to community notes,  </w:t>
      </w:r>
    </w:p>
    <w:p w:rsidR="006B77A5" w:rsidRPr="006B77A5" w:rsidRDefault="006B77A5" w:rsidP="006B77A5">
      <w:pPr>
        <w:numPr>
          <w:ilvl w:val="0"/>
          <w:numId w:val="12"/>
        </w:numPr>
        <w:rPr>
          <w:szCs w:val="22"/>
        </w:rPr>
      </w:pPr>
      <w:r w:rsidRPr="006B77A5">
        <w:rPr>
          <w:szCs w:val="22"/>
        </w:rPr>
        <w:t xml:space="preserve">Visual content of posts – memes </w:t>
      </w:r>
    </w:p>
    <w:p w:rsidR="006B77A5" w:rsidRPr="006B77A5" w:rsidRDefault="006B77A5" w:rsidP="006B77A5">
      <w:pPr>
        <w:numPr>
          <w:ilvl w:val="0"/>
          <w:numId w:val="12"/>
        </w:numPr>
        <w:rPr>
          <w:szCs w:val="22"/>
        </w:rPr>
      </w:pPr>
      <w:r w:rsidRPr="006B77A5">
        <w:rPr>
          <w:szCs w:val="22"/>
        </w:rPr>
        <w:t xml:space="preserve">How topics are </w:t>
      </w:r>
      <w:proofErr w:type="gramStart"/>
      <w:r w:rsidRPr="006B77A5">
        <w:rPr>
          <w:szCs w:val="22"/>
        </w:rPr>
        <w:t>framed</w:t>
      </w:r>
      <w:proofErr w:type="gramEnd"/>
      <w:r w:rsidRPr="006B77A5">
        <w:rPr>
          <w:szCs w:val="22"/>
        </w:rPr>
        <w:t xml:space="preserve"> they are exposed to.</w:t>
      </w:r>
    </w:p>
    <w:p w:rsidR="006B77A5" w:rsidRPr="006B77A5" w:rsidRDefault="006B77A5" w:rsidP="006B77A5">
      <w:pPr>
        <w:numPr>
          <w:ilvl w:val="0"/>
          <w:numId w:val="12"/>
        </w:numPr>
        <w:rPr>
          <w:szCs w:val="22"/>
        </w:rPr>
      </w:pPr>
      <w:r w:rsidRPr="006B77A5">
        <w:rPr>
          <w:szCs w:val="22"/>
        </w:rPr>
        <w:t>Use of gendered communication style</w:t>
      </w:r>
    </w:p>
    <w:p w:rsidR="006B77A5" w:rsidRPr="006B77A5" w:rsidRDefault="006B77A5" w:rsidP="006B77A5">
      <w:pPr>
        <w:rPr>
          <w:sz w:val="20"/>
        </w:rPr>
      </w:pPr>
    </w:p>
    <w:p w:rsidR="006B77A5" w:rsidRPr="006B77A5" w:rsidRDefault="006B77A5" w:rsidP="006B77A5">
      <w:pPr>
        <w:numPr>
          <w:ilvl w:val="0"/>
          <w:numId w:val="7"/>
        </w:numPr>
        <w:ind w:hanging="720"/>
        <w:rPr>
          <w:rFonts w:asciiTheme="majorHAnsi" w:eastAsiaTheme="majorEastAsia" w:hAnsiTheme="majorHAnsi" w:cstheme="majorBidi"/>
          <w:b/>
          <w:sz w:val="24"/>
          <w:szCs w:val="24"/>
        </w:rPr>
      </w:pPr>
      <w:r w:rsidRPr="006B77A5">
        <w:rPr>
          <w:rFonts w:asciiTheme="majorHAnsi" w:eastAsiaTheme="majorEastAsia" w:hAnsiTheme="majorHAnsi" w:cstheme="majorBidi"/>
          <w:b/>
          <w:sz w:val="24"/>
          <w:szCs w:val="24"/>
        </w:rPr>
        <w:t xml:space="preserve">Does our traffic light/coding system work – is it a sensible approach to identifying the most important variables to add to the survey data - MIV </w:t>
      </w:r>
    </w:p>
    <w:p w:rsidR="006B77A5" w:rsidRPr="006B77A5" w:rsidRDefault="006B77A5" w:rsidP="006B77A5">
      <w:pPr>
        <w:numPr>
          <w:ilvl w:val="0"/>
          <w:numId w:val="15"/>
        </w:numPr>
        <w:contextualSpacing/>
      </w:pPr>
      <w:r w:rsidRPr="006B77A5">
        <w:t>Caution: What is “political” could be very sensitive to definition of “political”</w:t>
      </w:r>
    </w:p>
    <w:p w:rsidR="006B77A5" w:rsidRPr="006B77A5" w:rsidRDefault="006B77A5" w:rsidP="006B77A5">
      <w:pPr>
        <w:numPr>
          <w:ilvl w:val="0"/>
          <w:numId w:val="15"/>
        </w:numPr>
        <w:contextualSpacing/>
      </w:pPr>
      <w:r w:rsidRPr="006B77A5">
        <w:t xml:space="preserve">Could consider Reliability, Complexity, Usability as additional coding </w:t>
      </w:r>
    </w:p>
    <w:p w:rsidR="006B77A5" w:rsidRPr="006B77A5" w:rsidRDefault="006B77A5" w:rsidP="006B77A5">
      <w:pPr>
        <w:numPr>
          <w:ilvl w:val="1"/>
          <w:numId w:val="0"/>
        </w:numPr>
        <w:rPr>
          <w:rFonts w:asciiTheme="majorHAnsi" w:eastAsiaTheme="majorEastAsia" w:hAnsiTheme="majorHAnsi" w:cstheme="majorBidi"/>
          <w:iCs/>
          <w:color w:val="404040" w:themeColor="text1" w:themeTint="BF"/>
          <w:sz w:val="24"/>
          <w:szCs w:val="24"/>
        </w:rPr>
      </w:pPr>
    </w:p>
    <w:p w:rsidR="006B77A5" w:rsidRPr="006B77A5" w:rsidRDefault="006B77A5" w:rsidP="006B77A5">
      <w:pPr>
        <w:numPr>
          <w:ilvl w:val="0"/>
          <w:numId w:val="7"/>
        </w:numPr>
        <w:ind w:hanging="720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</w:pPr>
      <w:r w:rsidRPr="006B77A5">
        <w:rPr>
          <w:rFonts w:asciiTheme="majorHAnsi" w:eastAsiaTheme="majorEastAsia" w:hAnsiTheme="majorHAnsi" w:cstheme="majorBidi"/>
          <w:b/>
          <w:i/>
          <w:iCs/>
          <w:color w:val="404040" w:themeColor="text1" w:themeTint="BF"/>
          <w:sz w:val="24"/>
          <w:szCs w:val="24"/>
        </w:rPr>
        <w:t>What other variables might be included that we have currently not identified?</w:t>
      </w:r>
    </w:p>
    <w:p w:rsidR="006B77A5" w:rsidRPr="006B77A5" w:rsidRDefault="006B77A5" w:rsidP="006B77A5">
      <w:pPr>
        <w:ind w:left="720"/>
        <w:rPr>
          <w:rFonts w:asciiTheme="majorHAnsi" w:eastAsiaTheme="majorEastAsia" w:hAnsiTheme="majorHAnsi" w:cstheme="majorBidi"/>
          <w:b/>
          <w:i/>
          <w:iCs/>
          <w:color w:val="404040" w:themeColor="text1" w:themeTint="BF"/>
          <w:sz w:val="24"/>
          <w:szCs w:val="24"/>
        </w:rPr>
      </w:pPr>
    </w:p>
    <w:p w:rsidR="006B77A5" w:rsidRPr="006B77A5" w:rsidRDefault="006B77A5" w:rsidP="006B77A5">
      <w:pPr>
        <w:rPr>
          <w:b/>
          <w:bCs/>
        </w:rPr>
      </w:pPr>
      <w:r w:rsidRPr="006B77A5">
        <w:rPr>
          <w:b/>
          <w:bCs/>
        </w:rPr>
        <w:t xml:space="preserve">Accounts followed: </w:t>
      </w:r>
    </w:p>
    <w:p w:rsidR="006B77A5" w:rsidRPr="006B77A5" w:rsidRDefault="006B77A5" w:rsidP="006B77A5">
      <w:pPr>
        <w:numPr>
          <w:ilvl w:val="0"/>
          <w:numId w:val="8"/>
        </w:numPr>
        <w:rPr>
          <w:szCs w:val="22"/>
        </w:rPr>
      </w:pPr>
      <w:r w:rsidRPr="006B77A5">
        <w:rPr>
          <w:szCs w:val="22"/>
        </w:rPr>
        <w:t>specific national, sub-national politicians; number of politicians followed</w:t>
      </w:r>
    </w:p>
    <w:p w:rsidR="006B77A5" w:rsidRPr="006B77A5" w:rsidRDefault="006B77A5" w:rsidP="006B77A5">
      <w:pPr>
        <w:numPr>
          <w:ilvl w:val="0"/>
          <w:numId w:val="8"/>
        </w:numPr>
        <w:rPr>
          <w:szCs w:val="22"/>
        </w:rPr>
      </w:pPr>
      <w:r w:rsidRPr="006B77A5">
        <w:rPr>
          <w:szCs w:val="22"/>
        </w:rPr>
        <w:t>Specific well known ‘influencers’</w:t>
      </w:r>
    </w:p>
    <w:p w:rsidR="006B77A5" w:rsidRPr="006B77A5" w:rsidRDefault="006B77A5" w:rsidP="006B77A5">
      <w:pPr>
        <w:numPr>
          <w:ilvl w:val="0"/>
          <w:numId w:val="8"/>
        </w:numPr>
        <w:rPr>
          <w:szCs w:val="22"/>
        </w:rPr>
      </w:pPr>
      <w:r w:rsidRPr="006B77A5">
        <w:rPr>
          <w:szCs w:val="22"/>
        </w:rPr>
        <w:t xml:space="preserve">Regional variation of accounts </w:t>
      </w:r>
      <w:proofErr w:type="gramStart"/>
      <w:r w:rsidRPr="006B77A5">
        <w:rPr>
          <w:szCs w:val="22"/>
        </w:rPr>
        <w:t>followed?</w:t>
      </w:r>
      <w:proofErr w:type="gramEnd"/>
      <w:r w:rsidRPr="006B77A5">
        <w:rPr>
          <w:szCs w:val="22"/>
        </w:rPr>
        <w:t xml:space="preserve"> in country and out of country</w:t>
      </w:r>
    </w:p>
    <w:p w:rsidR="006B77A5" w:rsidRPr="006B77A5" w:rsidRDefault="006B77A5" w:rsidP="006B77A5">
      <w:pPr>
        <w:numPr>
          <w:ilvl w:val="0"/>
          <w:numId w:val="8"/>
        </w:numPr>
        <w:rPr>
          <w:szCs w:val="22"/>
        </w:rPr>
      </w:pPr>
      <w:r w:rsidRPr="006B77A5">
        <w:rPr>
          <w:szCs w:val="22"/>
        </w:rPr>
        <w:t>Identify key accounts (e.g., Fox) for following, providing information on users who don’t post; Code them by topic</w:t>
      </w:r>
    </w:p>
    <w:p w:rsidR="006B77A5" w:rsidRPr="006B77A5" w:rsidRDefault="006B77A5" w:rsidP="006B77A5">
      <w:pPr>
        <w:numPr>
          <w:ilvl w:val="0"/>
          <w:numId w:val="8"/>
        </w:numPr>
        <w:rPr>
          <w:szCs w:val="22"/>
        </w:rPr>
      </w:pPr>
      <w:r w:rsidRPr="006B77A5">
        <w:rPr>
          <w:szCs w:val="22"/>
        </w:rPr>
        <w:t xml:space="preserve">This </w:t>
      </w:r>
      <w:hyperlink r:id="rId7" w:history="1">
        <w:r w:rsidRPr="006B77A5">
          <w:rPr>
            <w:color w:val="99CA3C" w:themeColor="hyperlink"/>
            <w:szCs w:val="22"/>
            <w:u w:val="single"/>
          </w:rPr>
          <w:t>paper</w:t>
        </w:r>
      </w:hyperlink>
      <w:r w:rsidRPr="006B77A5">
        <w:rPr>
          <w:szCs w:val="22"/>
        </w:rPr>
        <w:t xml:space="preserve"> has a list of the top accounts followed by US Twitter users, with a categorization in type of account (politics, entertainment, etc.), also a </w:t>
      </w:r>
      <w:hyperlink r:id="rId8" w:history="1">
        <w:r w:rsidRPr="006B77A5">
          <w:rPr>
            <w:color w:val="99CA3C" w:themeColor="hyperlink"/>
            <w:szCs w:val="22"/>
            <w:u w:val="single"/>
          </w:rPr>
          <w:t>useful list</w:t>
        </w:r>
      </w:hyperlink>
      <w:r w:rsidRPr="006B77A5">
        <w:rPr>
          <w:szCs w:val="22"/>
        </w:rPr>
        <w:t xml:space="preserve"> here from this</w:t>
      </w:r>
      <w:hyperlink r:id="rId9" w:history="1">
        <w:r w:rsidRPr="006B77A5">
          <w:rPr>
            <w:color w:val="99CA3C" w:themeColor="hyperlink"/>
            <w:szCs w:val="22"/>
            <w:u w:val="single"/>
          </w:rPr>
          <w:t xml:space="preserve"> paper</w:t>
        </w:r>
      </w:hyperlink>
    </w:p>
    <w:p w:rsidR="006B77A5" w:rsidRPr="006B77A5" w:rsidRDefault="006B77A5" w:rsidP="006B77A5">
      <w:pPr>
        <w:numPr>
          <w:ilvl w:val="0"/>
          <w:numId w:val="8"/>
        </w:numPr>
        <w:rPr>
          <w:szCs w:val="22"/>
        </w:rPr>
      </w:pPr>
      <w:r w:rsidRPr="006B77A5">
        <w:rPr>
          <w:szCs w:val="22"/>
        </w:rPr>
        <w:t xml:space="preserve">Maybe use </w:t>
      </w:r>
      <w:hyperlink r:id="rId10" w:history="1">
        <w:r w:rsidRPr="006B77A5">
          <w:rPr>
            <w:color w:val="99CA3C" w:themeColor="hyperlink"/>
            <w:szCs w:val="22"/>
            <w:u w:val="single"/>
          </w:rPr>
          <w:t>this method</w:t>
        </w:r>
      </w:hyperlink>
      <w:r w:rsidRPr="006B77A5">
        <w:rPr>
          <w:szCs w:val="22"/>
        </w:rPr>
        <w:t xml:space="preserve"> to get a measure of SES from the accounts followed</w:t>
      </w:r>
    </w:p>
    <w:p w:rsidR="006B77A5" w:rsidRPr="006B77A5" w:rsidRDefault="006B77A5" w:rsidP="006B77A5">
      <w:pPr>
        <w:rPr>
          <w:szCs w:val="22"/>
        </w:rPr>
      </w:pPr>
    </w:p>
    <w:p w:rsidR="006B77A5" w:rsidRPr="006B77A5" w:rsidRDefault="006B77A5" w:rsidP="006B77A5">
      <w:r w:rsidRPr="006B77A5">
        <w:t>Include other fields:</w:t>
      </w:r>
    </w:p>
    <w:p w:rsidR="006B77A5" w:rsidRPr="006B77A5" w:rsidRDefault="006B77A5" w:rsidP="006B77A5">
      <w:pPr>
        <w:numPr>
          <w:ilvl w:val="0"/>
          <w:numId w:val="9"/>
        </w:numPr>
        <w:rPr>
          <w:szCs w:val="22"/>
        </w:rPr>
      </w:pPr>
      <w:r w:rsidRPr="006B77A5">
        <w:rPr>
          <w:szCs w:val="22"/>
        </w:rPr>
        <w:t xml:space="preserve">Sociology </w:t>
      </w:r>
    </w:p>
    <w:p w:rsidR="006B77A5" w:rsidRPr="006B77A5" w:rsidRDefault="006B77A5" w:rsidP="006B77A5">
      <w:pPr>
        <w:numPr>
          <w:ilvl w:val="0"/>
          <w:numId w:val="9"/>
        </w:numPr>
        <w:rPr>
          <w:szCs w:val="22"/>
        </w:rPr>
      </w:pPr>
      <w:r w:rsidRPr="006B77A5">
        <w:rPr>
          <w:szCs w:val="22"/>
        </w:rPr>
        <w:t>Economics</w:t>
      </w:r>
    </w:p>
    <w:p w:rsidR="006B77A5" w:rsidRPr="006B77A5" w:rsidRDefault="006B77A5" w:rsidP="006B77A5">
      <w:pPr>
        <w:numPr>
          <w:ilvl w:val="0"/>
          <w:numId w:val="9"/>
        </w:numPr>
        <w:rPr>
          <w:szCs w:val="22"/>
        </w:rPr>
      </w:pPr>
      <w:r w:rsidRPr="006B77A5">
        <w:rPr>
          <w:szCs w:val="22"/>
        </w:rPr>
        <w:t>Find key users from other fields</w:t>
      </w:r>
    </w:p>
    <w:p w:rsidR="006B77A5" w:rsidRPr="006B77A5" w:rsidRDefault="006B77A5" w:rsidP="006B77A5">
      <w:pPr>
        <w:rPr>
          <w:szCs w:val="22"/>
        </w:rPr>
      </w:pPr>
      <w:r w:rsidRPr="006B77A5">
        <w:rPr>
          <w:szCs w:val="22"/>
        </w:rPr>
        <w:tab/>
      </w:r>
    </w:p>
    <w:p w:rsidR="006B77A5" w:rsidRPr="006B77A5" w:rsidRDefault="006B77A5" w:rsidP="006B77A5">
      <w:r w:rsidRPr="006B77A5">
        <w:t xml:space="preserve">Wide range of non-political substantive areas of interest </w:t>
      </w:r>
    </w:p>
    <w:p w:rsidR="006B77A5" w:rsidRPr="006B77A5" w:rsidRDefault="006B77A5" w:rsidP="006B77A5">
      <w:pPr>
        <w:numPr>
          <w:ilvl w:val="0"/>
          <w:numId w:val="10"/>
        </w:numPr>
        <w:rPr>
          <w:szCs w:val="22"/>
        </w:rPr>
      </w:pPr>
      <w:r w:rsidRPr="006B77A5">
        <w:rPr>
          <w:szCs w:val="22"/>
        </w:rPr>
        <w:t xml:space="preserve">class, </w:t>
      </w:r>
    </w:p>
    <w:p w:rsidR="006B77A5" w:rsidRPr="006B77A5" w:rsidRDefault="006B77A5" w:rsidP="006B77A5">
      <w:pPr>
        <w:numPr>
          <w:ilvl w:val="0"/>
          <w:numId w:val="10"/>
        </w:numPr>
        <w:rPr>
          <w:szCs w:val="22"/>
        </w:rPr>
      </w:pPr>
      <w:r w:rsidRPr="006B77A5">
        <w:rPr>
          <w:szCs w:val="22"/>
        </w:rPr>
        <w:t xml:space="preserve">identity group membership, </w:t>
      </w:r>
    </w:p>
    <w:p w:rsidR="006B77A5" w:rsidRPr="006B77A5" w:rsidRDefault="006B77A5" w:rsidP="006B77A5">
      <w:pPr>
        <w:numPr>
          <w:ilvl w:val="0"/>
          <w:numId w:val="10"/>
        </w:numPr>
        <w:rPr>
          <w:szCs w:val="22"/>
        </w:rPr>
      </w:pPr>
      <w:r w:rsidRPr="006B77A5">
        <w:rPr>
          <w:szCs w:val="22"/>
        </w:rPr>
        <w:t xml:space="preserve">network heterogeneity </w:t>
      </w:r>
    </w:p>
    <w:p w:rsidR="006B77A5" w:rsidRPr="006B77A5" w:rsidRDefault="006B77A5" w:rsidP="006B77A5">
      <w:pPr>
        <w:numPr>
          <w:ilvl w:val="0"/>
          <w:numId w:val="10"/>
        </w:numPr>
        <w:rPr>
          <w:szCs w:val="22"/>
        </w:rPr>
      </w:pPr>
      <w:r w:rsidRPr="006B77A5">
        <w:rPr>
          <w:szCs w:val="22"/>
        </w:rPr>
        <w:t xml:space="preserve">geographical proximity, cosmopolitan/local </w:t>
      </w:r>
    </w:p>
    <w:p w:rsidR="006B77A5" w:rsidRPr="006B77A5" w:rsidRDefault="006B77A5" w:rsidP="006B77A5">
      <w:pPr>
        <w:numPr>
          <w:ilvl w:val="0"/>
          <w:numId w:val="10"/>
        </w:numPr>
        <w:rPr>
          <w:szCs w:val="22"/>
        </w:rPr>
      </w:pPr>
      <w:r w:rsidRPr="006B77A5">
        <w:rPr>
          <w:szCs w:val="22"/>
        </w:rPr>
        <w:t xml:space="preserve">health </w:t>
      </w:r>
    </w:p>
    <w:p w:rsidR="006B77A5" w:rsidRPr="006B77A5" w:rsidRDefault="006B77A5" w:rsidP="006B77A5">
      <w:pPr>
        <w:numPr>
          <w:ilvl w:val="0"/>
          <w:numId w:val="10"/>
        </w:numPr>
        <w:rPr>
          <w:szCs w:val="22"/>
        </w:rPr>
      </w:pPr>
      <w:r w:rsidRPr="006B77A5">
        <w:rPr>
          <w:szCs w:val="22"/>
        </w:rPr>
        <w:t>personality traits</w:t>
      </w:r>
    </w:p>
    <w:p w:rsidR="006B77A5" w:rsidRPr="006B77A5" w:rsidRDefault="006B77A5" w:rsidP="006B77A5">
      <w:pPr>
        <w:numPr>
          <w:ilvl w:val="0"/>
          <w:numId w:val="10"/>
        </w:numPr>
        <w:rPr>
          <w:szCs w:val="22"/>
        </w:rPr>
      </w:pPr>
      <w:r w:rsidRPr="006B77A5">
        <w:rPr>
          <w:szCs w:val="22"/>
        </w:rPr>
        <w:t>topics they post on /are interested in</w:t>
      </w:r>
    </w:p>
    <w:p w:rsidR="006B77A5" w:rsidRPr="006B77A5" w:rsidRDefault="006B77A5" w:rsidP="006B77A5">
      <w:pPr>
        <w:rPr>
          <w:szCs w:val="22"/>
        </w:rPr>
      </w:pPr>
    </w:p>
    <w:p w:rsidR="006B77A5" w:rsidRPr="006B77A5" w:rsidRDefault="006B77A5" w:rsidP="006B77A5">
      <w:r w:rsidRPr="006B77A5">
        <w:t xml:space="preserve">Measures of political interest </w:t>
      </w:r>
    </w:p>
    <w:p w:rsidR="006B77A5" w:rsidRPr="006B77A5" w:rsidRDefault="006B77A5" w:rsidP="006B77A5">
      <w:pPr>
        <w:numPr>
          <w:ilvl w:val="0"/>
          <w:numId w:val="11"/>
        </w:numPr>
        <w:rPr>
          <w:szCs w:val="22"/>
        </w:rPr>
      </w:pPr>
      <w:r w:rsidRPr="006B77A5">
        <w:rPr>
          <w:szCs w:val="22"/>
        </w:rPr>
        <w:t>from follower patterns (members of congress, news sources)</w:t>
      </w:r>
    </w:p>
    <w:p w:rsidR="006B77A5" w:rsidRPr="006B77A5" w:rsidRDefault="006B77A5" w:rsidP="006B77A5">
      <w:pPr>
        <w:numPr>
          <w:ilvl w:val="0"/>
          <w:numId w:val="11"/>
        </w:numPr>
        <w:rPr>
          <w:szCs w:val="22"/>
        </w:rPr>
      </w:pPr>
      <w:r w:rsidRPr="006B77A5">
        <w:rPr>
          <w:szCs w:val="22"/>
        </w:rPr>
        <w:t xml:space="preserve">Out-party mentions, </w:t>
      </w:r>
    </w:p>
    <w:p w:rsidR="006B77A5" w:rsidRPr="006B77A5" w:rsidRDefault="006B77A5" w:rsidP="006B77A5">
      <w:pPr>
        <w:numPr>
          <w:ilvl w:val="0"/>
          <w:numId w:val="11"/>
        </w:numPr>
        <w:rPr>
          <w:szCs w:val="22"/>
        </w:rPr>
      </w:pPr>
      <w:r w:rsidRPr="006B77A5">
        <w:rPr>
          <w:szCs w:val="22"/>
        </w:rPr>
        <w:t xml:space="preserve">group polarization, </w:t>
      </w:r>
    </w:p>
    <w:p w:rsidR="006B77A5" w:rsidRPr="006B77A5" w:rsidRDefault="006B77A5" w:rsidP="006B77A5">
      <w:pPr>
        <w:numPr>
          <w:ilvl w:val="0"/>
          <w:numId w:val="11"/>
        </w:numPr>
        <w:rPr>
          <w:szCs w:val="22"/>
        </w:rPr>
      </w:pPr>
      <w:r w:rsidRPr="006B77A5">
        <w:rPr>
          <w:szCs w:val="22"/>
        </w:rPr>
        <w:t>attitudes to size of government, taxation</w:t>
      </w:r>
    </w:p>
    <w:p w:rsidR="006B77A5" w:rsidRPr="006B77A5" w:rsidRDefault="006B77A5" w:rsidP="006B77A5">
      <w:pPr>
        <w:rPr>
          <w:szCs w:val="22"/>
        </w:rPr>
      </w:pPr>
    </w:p>
    <w:p w:rsidR="006B77A5" w:rsidRPr="006B77A5" w:rsidRDefault="006B77A5" w:rsidP="006B77A5">
      <w:pPr>
        <w:rPr>
          <w:b/>
        </w:rPr>
      </w:pPr>
      <w:r w:rsidRPr="006B77A5">
        <w:rPr>
          <w:b/>
          <w:i/>
          <w:iCs/>
        </w:rPr>
        <w:t>Use of LLMs/Gen AI</w:t>
      </w:r>
    </w:p>
    <w:p w:rsidR="006B77A5" w:rsidRPr="006B77A5" w:rsidRDefault="006B77A5" w:rsidP="006B77A5">
      <w:pPr>
        <w:numPr>
          <w:ilvl w:val="0"/>
          <w:numId w:val="16"/>
        </w:numPr>
        <w:rPr>
          <w:szCs w:val="22"/>
        </w:rPr>
      </w:pPr>
      <w:r w:rsidRPr="006B77A5">
        <w:rPr>
          <w:szCs w:val="22"/>
        </w:rPr>
        <w:t xml:space="preserve">Claud, </w:t>
      </w:r>
      <w:proofErr w:type="spellStart"/>
      <w:r w:rsidRPr="006B77A5">
        <w:rPr>
          <w:szCs w:val="22"/>
        </w:rPr>
        <w:t>Chatgpt</w:t>
      </w:r>
      <w:proofErr w:type="spellEnd"/>
      <w:r w:rsidRPr="006B77A5">
        <w:rPr>
          <w:szCs w:val="22"/>
        </w:rPr>
        <w:t xml:space="preserve">, </w:t>
      </w:r>
      <w:proofErr w:type="spellStart"/>
      <w:r w:rsidRPr="006B77A5">
        <w:rPr>
          <w:szCs w:val="22"/>
        </w:rPr>
        <w:t>Copilot</w:t>
      </w:r>
      <w:proofErr w:type="spellEnd"/>
    </w:p>
    <w:p w:rsidR="006B77A5" w:rsidRPr="006B77A5" w:rsidRDefault="006B77A5" w:rsidP="006B77A5">
      <w:pPr>
        <w:numPr>
          <w:ilvl w:val="0"/>
          <w:numId w:val="16"/>
        </w:numPr>
        <w:rPr>
          <w:szCs w:val="22"/>
        </w:rPr>
      </w:pPr>
      <w:r w:rsidRPr="006B77A5">
        <w:rPr>
          <w:szCs w:val="22"/>
        </w:rPr>
        <w:t>AI Literacy measure</w:t>
      </w:r>
    </w:p>
    <w:p w:rsidR="006B77A5" w:rsidRPr="006B77A5" w:rsidRDefault="006B77A5" w:rsidP="006B77A5">
      <w:pPr>
        <w:rPr>
          <w:szCs w:val="22"/>
        </w:rPr>
      </w:pPr>
    </w:p>
    <w:p w:rsidR="006B77A5" w:rsidRPr="006B77A5" w:rsidRDefault="006B77A5" w:rsidP="006B77A5">
      <w:pPr>
        <w:numPr>
          <w:ilvl w:val="0"/>
          <w:numId w:val="7"/>
        </w:numPr>
        <w:ind w:hanging="720"/>
        <w:rPr>
          <w:rFonts w:asciiTheme="majorHAnsi" w:eastAsiaTheme="majorEastAsia" w:hAnsiTheme="majorHAnsi" w:cstheme="majorBidi"/>
          <w:sz w:val="24"/>
          <w:szCs w:val="24"/>
        </w:rPr>
      </w:pPr>
      <w:r w:rsidRPr="006B77A5">
        <w:rPr>
          <w:rFonts w:asciiTheme="majorHAnsi" w:eastAsiaTheme="majorEastAsia" w:hAnsiTheme="majorHAnsi" w:cstheme="majorBidi"/>
          <w:sz w:val="24"/>
          <w:szCs w:val="24"/>
        </w:rPr>
        <w:t xml:space="preserve">How ‘generic’ are these variables in terms of cross-platform application. Could they be transferred to other new forms of DTD – i.e. Facebook, Instagram, YouTube, </w:t>
      </w:r>
      <w:proofErr w:type="spellStart"/>
      <w:r w:rsidRPr="006B77A5">
        <w:rPr>
          <w:rFonts w:asciiTheme="majorHAnsi" w:eastAsiaTheme="majorEastAsia" w:hAnsiTheme="majorHAnsi" w:cstheme="majorBidi"/>
          <w:sz w:val="24"/>
          <w:szCs w:val="24"/>
        </w:rPr>
        <w:t>Reddit</w:t>
      </w:r>
      <w:proofErr w:type="spellEnd"/>
      <w:r w:rsidRPr="006B77A5">
        <w:rPr>
          <w:rFonts w:asciiTheme="majorHAnsi" w:eastAsiaTheme="majorEastAsia" w:hAnsiTheme="majorHAnsi" w:cstheme="majorBidi"/>
          <w:sz w:val="24"/>
          <w:szCs w:val="24"/>
        </w:rPr>
        <w:t xml:space="preserve">, </w:t>
      </w:r>
      <w:proofErr w:type="spellStart"/>
      <w:proofErr w:type="gramStart"/>
      <w:r w:rsidRPr="006B77A5">
        <w:rPr>
          <w:rFonts w:asciiTheme="majorHAnsi" w:eastAsiaTheme="majorEastAsia" w:hAnsiTheme="majorHAnsi" w:cstheme="majorBidi"/>
          <w:sz w:val="24"/>
          <w:szCs w:val="24"/>
        </w:rPr>
        <w:t>TikTok</w:t>
      </w:r>
      <w:proofErr w:type="spellEnd"/>
      <w:proofErr w:type="gramEnd"/>
      <w:r w:rsidRPr="006B77A5">
        <w:rPr>
          <w:rFonts w:asciiTheme="majorHAnsi" w:eastAsiaTheme="majorEastAsia" w:hAnsiTheme="majorHAnsi" w:cstheme="majorBidi"/>
          <w:sz w:val="24"/>
          <w:szCs w:val="24"/>
        </w:rPr>
        <w:t>?</w:t>
      </w:r>
    </w:p>
    <w:p w:rsidR="006B77A5" w:rsidRPr="006B77A5" w:rsidRDefault="006B77A5" w:rsidP="006B77A5">
      <w:pPr>
        <w:ind w:left="720"/>
        <w:rPr>
          <w:rFonts w:asciiTheme="majorHAnsi" w:eastAsiaTheme="majorEastAsia" w:hAnsiTheme="majorHAnsi" w:cstheme="majorBidi"/>
          <w:sz w:val="24"/>
          <w:szCs w:val="24"/>
        </w:rPr>
      </w:pPr>
    </w:p>
    <w:p w:rsidR="006B77A5" w:rsidRPr="006B77A5" w:rsidRDefault="006B77A5" w:rsidP="006B77A5">
      <w:pPr>
        <w:ind w:left="720"/>
        <w:rPr>
          <w:rFonts w:asciiTheme="majorHAnsi" w:eastAsiaTheme="majorEastAsia" w:hAnsiTheme="majorHAnsi" w:cstheme="majorBidi"/>
          <w:sz w:val="24"/>
          <w:szCs w:val="24"/>
        </w:rPr>
      </w:pPr>
    </w:p>
    <w:p w:rsidR="006B77A5" w:rsidRPr="006B77A5" w:rsidRDefault="006B77A5" w:rsidP="006B77A5">
      <w:pPr>
        <w:spacing w:before="160"/>
        <w:ind w:left="720" w:right="720" w:hanging="720"/>
        <w:rPr>
          <w:b/>
          <w:i/>
          <w:iCs/>
          <w:color w:val="404040" w:themeColor="text1" w:themeTint="BF"/>
          <w:sz w:val="24"/>
        </w:rPr>
      </w:pPr>
      <w:r w:rsidRPr="006B77A5">
        <w:rPr>
          <w:b/>
          <w:i/>
          <w:iCs/>
          <w:color w:val="404040" w:themeColor="text1" w:themeTint="BF"/>
          <w:sz w:val="24"/>
        </w:rPr>
        <w:t xml:space="preserve">More general take </w:t>
      </w:r>
      <w:proofErr w:type="spellStart"/>
      <w:r w:rsidRPr="006B77A5">
        <w:rPr>
          <w:b/>
          <w:i/>
          <w:iCs/>
          <w:color w:val="404040" w:themeColor="text1" w:themeTint="BF"/>
          <w:sz w:val="24"/>
        </w:rPr>
        <w:t>aways</w:t>
      </w:r>
      <w:proofErr w:type="spellEnd"/>
      <w:r w:rsidRPr="006B77A5">
        <w:rPr>
          <w:b/>
          <w:i/>
          <w:iCs/>
          <w:color w:val="404040" w:themeColor="text1" w:themeTint="BF"/>
          <w:sz w:val="24"/>
        </w:rPr>
        <w:t>:</w:t>
      </w:r>
    </w:p>
    <w:p w:rsidR="006B77A5" w:rsidRPr="006B77A5" w:rsidRDefault="006B77A5" w:rsidP="006B77A5">
      <w:pPr>
        <w:numPr>
          <w:ilvl w:val="0"/>
          <w:numId w:val="17"/>
        </w:numPr>
        <w:contextualSpacing/>
      </w:pPr>
      <w:r w:rsidRPr="006B77A5">
        <w:t xml:space="preserve">SNA methods could </w:t>
      </w:r>
      <w:proofErr w:type="spellStart"/>
      <w:r w:rsidRPr="006B77A5">
        <w:t>used</w:t>
      </w:r>
      <w:proofErr w:type="spellEnd"/>
      <w:r w:rsidRPr="006B77A5">
        <w:t xml:space="preserve"> to create new variables measuring respondent proximity /engagement in echo chamber/filter bubbles</w:t>
      </w:r>
    </w:p>
    <w:p w:rsidR="006B77A5" w:rsidRPr="006B77A5" w:rsidRDefault="006B77A5" w:rsidP="006B77A5"/>
    <w:p w:rsidR="006B77A5" w:rsidRPr="006B77A5" w:rsidRDefault="006B77A5" w:rsidP="006B77A5">
      <w:pPr>
        <w:numPr>
          <w:ilvl w:val="0"/>
          <w:numId w:val="17"/>
        </w:numPr>
        <w:contextualSpacing/>
      </w:pPr>
      <w:r w:rsidRPr="006B77A5">
        <w:t>Future proofing – how time resistant are our measures</w:t>
      </w:r>
    </w:p>
    <w:p w:rsidR="006B77A5" w:rsidRPr="006B77A5" w:rsidRDefault="006B77A5" w:rsidP="006B77A5"/>
    <w:p w:rsidR="006B77A5" w:rsidRPr="006B77A5" w:rsidRDefault="006B77A5" w:rsidP="006B77A5">
      <w:pPr>
        <w:numPr>
          <w:ilvl w:val="0"/>
          <w:numId w:val="17"/>
        </w:numPr>
        <w:contextualSpacing/>
      </w:pPr>
      <w:proofErr w:type="gramStart"/>
      <w:r w:rsidRPr="006B77A5">
        <w:t>How far do they and should they have cross-national application?</w:t>
      </w:r>
      <w:proofErr w:type="gramEnd"/>
      <w:r w:rsidRPr="006B77A5">
        <w:t xml:space="preserve"> Countries will have differing rules on the definition of PII and how it </w:t>
      </w:r>
      <w:proofErr w:type="gramStart"/>
      <w:r w:rsidRPr="006B77A5">
        <w:t>can be used</w:t>
      </w:r>
      <w:proofErr w:type="gramEnd"/>
      <w:r w:rsidRPr="006B77A5">
        <w:t xml:space="preserve">. E.g. US vs Europe. Political views are sensitive data under GDPR. Should our measures aim for the most standardized to avoid problems. </w:t>
      </w:r>
      <w:proofErr w:type="gramStart"/>
      <w:r w:rsidRPr="006B77A5">
        <w:t>Or</w:t>
      </w:r>
      <w:proofErr w:type="gramEnd"/>
      <w:r w:rsidRPr="006B77A5">
        <w:t xml:space="preserve"> be open to others to decide based on their own national regulatory requirements.</w:t>
      </w:r>
    </w:p>
    <w:p w:rsidR="006B77A5" w:rsidRPr="006B77A5" w:rsidRDefault="006B77A5" w:rsidP="006B77A5"/>
    <w:p w:rsidR="006B77A5" w:rsidRPr="006B77A5" w:rsidRDefault="006B77A5" w:rsidP="006B77A5">
      <w:pPr>
        <w:numPr>
          <w:ilvl w:val="0"/>
          <w:numId w:val="17"/>
        </w:numPr>
        <w:contextualSpacing/>
      </w:pPr>
      <w:proofErr w:type="spellStart"/>
      <w:r w:rsidRPr="006B77A5">
        <w:t>Misc</w:t>
      </w:r>
      <w:proofErr w:type="spellEnd"/>
      <w:r w:rsidRPr="006B77A5">
        <w:t xml:space="preserve"> –Other sources to cross check exposure to dis and misinformation - SNOPES</w:t>
      </w:r>
    </w:p>
    <w:p w:rsidR="006B77A5" w:rsidRPr="006B77A5" w:rsidRDefault="006B77A5" w:rsidP="006B77A5"/>
    <w:p w:rsidR="006B77A5" w:rsidRPr="006B77A5" w:rsidRDefault="006B77A5" w:rsidP="006B77A5">
      <w:pPr>
        <w:numPr>
          <w:ilvl w:val="0"/>
          <w:numId w:val="17"/>
        </w:numPr>
        <w:contextualSpacing/>
        <w:sectPr w:rsidR="006B77A5" w:rsidRPr="006B77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B77A5">
        <w:t>How to ensure consent from respondents that data provided in original linked data to be reused in open data  sets of for secondary analysis</w:t>
      </w:r>
    </w:p>
    <w:p w:rsidR="0052209C" w:rsidRPr="0052209C" w:rsidRDefault="0052209C" w:rsidP="0052209C"/>
    <w:p w:rsidR="0052209C" w:rsidRPr="0052209C" w:rsidRDefault="0052209C" w:rsidP="0052209C"/>
    <w:sectPr w:rsidR="0052209C" w:rsidRPr="00522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49C"/>
    <w:multiLevelType w:val="multilevel"/>
    <w:tmpl w:val="F5F68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E06CD"/>
    <w:multiLevelType w:val="multilevel"/>
    <w:tmpl w:val="283A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8582F"/>
    <w:multiLevelType w:val="hybridMultilevel"/>
    <w:tmpl w:val="FE6CF95C"/>
    <w:lvl w:ilvl="0" w:tplc="33360A36">
      <w:start w:val="4"/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92736"/>
    <w:multiLevelType w:val="hybridMultilevel"/>
    <w:tmpl w:val="22880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167C6"/>
    <w:multiLevelType w:val="hybridMultilevel"/>
    <w:tmpl w:val="CC5A57DE"/>
    <w:lvl w:ilvl="0" w:tplc="33360A36">
      <w:start w:val="4"/>
      <w:numFmt w:val="bullet"/>
      <w:lvlText w:val="-"/>
      <w:lvlJc w:val="left"/>
      <w:pPr>
        <w:ind w:left="360" w:hanging="360"/>
      </w:pPr>
      <w:rPr>
        <w:rFonts w:ascii="Trebuchet MS" w:eastAsiaTheme="majorEastAsia" w:hAnsi="Trebuchet MS" w:cstheme="majorBidi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726011"/>
    <w:multiLevelType w:val="hybridMultilevel"/>
    <w:tmpl w:val="7C428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24E08"/>
    <w:multiLevelType w:val="hybridMultilevel"/>
    <w:tmpl w:val="B3A0AED6"/>
    <w:lvl w:ilvl="0" w:tplc="F0E4E0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6C4B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002743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27818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CAE1D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87C94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F6257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F9C9BB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B0C583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267A5ECC"/>
    <w:multiLevelType w:val="hybridMultilevel"/>
    <w:tmpl w:val="51CA0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97E8C"/>
    <w:multiLevelType w:val="hybridMultilevel"/>
    <w:tmpl w:val="38D47B0E"/>
    <w:lvl w:ilvl="0" w:tplc="AB22DE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402"/>
    <w:multiLevelType w:val="hybridMultilevel"/>
    <w:tmpl w:val="A9FE06AE"/>
    <w:lvl w:ilvl="0" w:tplc="7F7882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F229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500B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D08A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5CF0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1EF7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10A7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668B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3843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1DF6FA9"/>
    <w:multiLevelType w:val="hybridMultilevel"/>
    <w:tmpl w:val="7D0CB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C60FF"/>
    <w:multiLevelType w:val="hybridMultilevel"/>
    <w:tmpl w:val="A0E61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358CA"/>
    <w:multiLevelType w:val="hybridMultilevel"/>
    <w:tmpl w:val="1D800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967D6"/>
    <w:multiLevelType w:val="hybridMultilevel"/>
    <w:tmpl w:val="6F3A7E0E"/>
    <w:lvl w:ilvl="0" w:tplc="289061E2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BF4BC6"/>
    <w:multiLevelType w:val="hybridMultilevel"/>
    <w:tmpl w:val="76CCE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D533E"/>
    <w:multiLevelType w:val="hybridMultilevel"/>
    <w:tmpl w:val="78F26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00F3A"/>
    <w:multiLevelType w:val="hybridMultilevel"/>
    <w:tmpl w:val="C28AB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17894"/>
    <w:multiLevelType w:val="hybridMultilevel"/>
    <w:tmpl w:val="12D247EC"/>
    <w:lvl w:ilvl="0" w:tplc="961AC6E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448B6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E748D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50C9C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B8818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0A4B9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7E229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73E1AC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C22B77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6F44483F"/>
    <w:multiLevelType w:val="hybridMultilevel"/>
    <w:tmpl w:val="B4C0D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13950"/>
    <w:multiLevelType w:val="hybridMultilevel"/>
    <w:tmpl w:val="E8EAD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"/>
  </w:num>
  <w:num w:numId="4">
    <w:abstractNumId w:val="0"/>
  </w:num>
  <w:num w:numId="5">
    <w:abstractNumId w:val="6"/>
  </w:num>
  <w:num w:numId="6">
    <w:abstractNumId w:val="11"/>
  </w:num>
  <w:num w:numId="7">
    <w:abstractNumId w:val="7"/>
  </w:num>
  <w:num w:numId="8">
    <w:abstractNumId w:val="10"/>
  </w:num>
  <w:num w:numId="9">
    <w:abstractNumId w:val="15"/>
  </w:num>
  <w:num w:numId="10">
    <w:abstractNumId w:val="16"/>
  </w:num>
  <w:num w:numId="11">
    <w:abstractNumId w:val="14"/>
  </w:num>
  <w:num w:numId="12">
    <w:abstractNumId w:val="5"/>
  </w:num>
  <w:num w:numId="13">
    <w:abstractNumId w:val="2"/>
  </w:num>
  <w:num w:numId="14">
    <w:abstractNumId w:val="4"/>
  </w:num>
  <w:num w:numId="15">
    <w:abstractNumId w:val="18"/>
  </w:num>
  <w:num w:numId="16">
    <w:abstractNumId w:val="3"/>
  </w:num>
  <w:num w:numId="17">
    <w:abstractNumId w:val="12"/>
  </w:num>
  <w:num w:numId="18">
    <w:abstractNumId w:val="8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9C"/>
    <w:rsid w:val="000C77CF"/>
    <w:rsid w:val="000D197C"/>
    <w:rsid w:val="003073CA"/>
    <w:rsid w:val="003A39F7"/>
    <w:rsid w:val="004731A8"/>
    <w:rsid w:val="004A3620"/>
    <w:rsid w:val="004D17AE"/>
    <w:rsid w:val="004F2401"/>
    <w:rsid w:val="0052209C"/>
    <w:rsid w:val="00522EFB"/>
    <w:rsid w:val="00600B5A"/>
    <w:rsid w:val="006B77A5"/>
    <w:rsid w:val="006C294E"/>
    <w:rsid w:val="006C3109"/>
    <w:rsid w:val="00780E04"/>
    <w:rsid w:val="00860E47"/>
    <w:rsid w:val="00953CDE"/>
    <w:rsid w:val="009D49D5"/>
    <w:rsid w:val="00A1715A"/>
    <w:rsid w:val="00B54EC7"/>
    <w:rsid w:val="00CE5E72"/>
    <w:rsid w:val="00DE4EE2"/>
    <w:rsid w:val="00EA5A96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DF3D"/>
  <w15:chartTrackingRefBased/>
  <w15:docId w15:val="{D2CD60DE-2349-4331-89D3-DB0E8CC0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E72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09C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09C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0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0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0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C3C43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0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09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0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0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9C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09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09C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09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09C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09C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09C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09C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09C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209C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2209C"/>
    <w:pPr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09C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09C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09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2209C"/>
    <w:rPr>
      <w:b/>
      <w:bCs/>
    </w:rPr>
  </w:style>
  <w:style w:type="character" w:styleId="Emphasis">
    <w:name w:val="Emphasis"/>
    <w:basedOn w:val="DefaultParagraphFont"/>
    <w:uiPriority w:val="20"/>
    <w:qFormat/>
    <w:rsid w:val="0052209C"/>
    <w:rPr>
      <w:i/>
      <w:iCs/>
    </w:rPr>
  </w:style>
  <w:style w:type="paragraph" w:styleId="NoSpacing">
    <w:name w:val="No Spacing"/>
    <w:uiPriority w:val="1"/>
    <w:qFormat/>
    <w:rsid w:val="005220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209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09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09C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09C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209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220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220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209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209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09C"/>
    <w:pPr>
      <w:outlineLvl w:val="9"/>
    </w:pPr>
  </w:style>
  <w:style w:type="paragraph" w:styleId="ListParagraph">
    <w:name w:val="List Paragraph"/>
    <w:basedOn w:val="Normal"/>
    <w:uiPriority w:val="34"/>
    <w:qFormat/>
    <w:rsid w:val="00522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B5A"/>
    <w:rPr>
      <w:color w:val="99CA3C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00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0B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0B5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B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B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B5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B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55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507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48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138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198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0813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011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504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511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311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09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6974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29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sAndreu/ingroup_filtering/blob/master/data/actors-ideo-score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ndfonline.com/doi/abs/10.1080/10584609.2022.207506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ctionstudies.org/wp-content/uploads/2023/06/anes_specialstudy_2020_socialmedia_restricted_use_facebook_data_codebook_2023060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lectionstudies.org/data-center/2020-2022-social-media-study/" TargetMode="External"/><Relationship Id="rId10" Type="http://schemas.openxmlformats.org/officeDocument/2006/relationships/hyperlink" Target="https://journals.sagepub.com/doi/10.1177/004912412311686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.org/doi/10.1126/sciadv.abn9418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1364</Words>
  <Characters>7775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DIGISURVOR Workshop: Summary &amp; Next steps</vt:lpstr>
      <vt:lpstr>Different models of DTD and survey data linkage collection and access</vt:lpstr>
      <vt:lpstr>Open research data challenge – where does Digisurvor fit?</vt:lpstr>
      <vt:lpstr>    How far are the current models set up to address the challenge of sharing / open</vt:lpstr>
      <vt:lpstr>Summary</vt:lpstr>
      <vt:lpstr>Next Steps for the Group/Building the network</vt:lpstr>
    </vt:vector>
  </TitlesOfParts>
  <Company>University of Manchester</Company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Gibson</dc:creator>
  <cp:keywords/>
  <dc:description/>
  <cp:lastModifiedBy>Rachel Gibson</cp:lastModifiedBy>
  <cp:revision>3</cp:revision>
  <dcterms:created xsi:type="dcterms:W3CDTF">2025-02-23T09:19:00Z</dcterms:created>
  <dcterms:modified xsi:type="dcterms:W3CDTF">2025-02-25T13:16:00Z</dcterms:modified>
</cp:coreProperties>
</file>