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23b52"/>
          <w:sz w:val="56"/>
          <w:szCs w:val="56"/>
          <w:rtl w:val="0"/>
        </w:rPr>
        <w:t xml:space="preserve">SPATIAL DNA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f3d5e"/>
          <w:sz w:val="38"/>
          <w:szCs w:val="38"/>
          <w:rtl w:val="0"/>
        </w:rPr>
        <w:t xml:space="preserve">B Handoff + MARA B1–B4 Architecture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7a2430"/>
          <w:sz w:val="21"/>
          <w:szCs w:val="21"/>
          <w:rtl w:val="0"/>
        </w:rPr>
        <w:t xml:space="preserve">FINALIZED CONTROL DOCUMENT — scope locked through B4</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ptos" w:cs="Aptos" w:eastAsia="Aptos" w:hAnsi="Aptos"/>
          <w:b w:val="0"/>
          <w:bCs w:val="0"/>
          <w:i w:val="1"/>
          <w:iCs w:val="1"/>
          <w:smallCaps w:val="0"/>
          <w:strike w:val="0"/>
          <w:color w:val="5a646e"/>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5a646e"/>
          <w:sz w:val="18"/>
          <w:szCs w:val="18"/>
          <w:u w:val="none"/>
          <w:shd w:fill="auto" w:val="clear"/>
          <w:vertAlign w:val="baseline"/>
          <w:rtl w:val="0"/>
        </w:rPr>
        <w:t xml:space="preserve">Purpose: preserve the agreed architecture and calibration work for the Scout→MARA handoff and MARA stages B1 through B4 before further B5 development.</w:t>
      </w:r>
    </w:p>
    <w:tbl>
      <w:tblPr>
        <w:tblStyle w:val="Table1"/>
        <w:tblW w:w="10282.0" w:type="dxa"/>
        <w:jc w:val="center"/>
        <w:tblLayout w:type="fixed"/>
        <w:tblLook w:val="0400"/>
      </w:tblPr>
      <w:tblGrid>
        <w:gridCol w:w="10282"/>
        <w:tblGridChange w:id="0">
          <w:tblGrid>
            <w:gridCol w:w="10282"/>
          </w:tblGrid>
        </w:tblGridChange>
      </w:tblGrid>
      <w:tr>
        <w:trPr>
          <w:cantSplit w:val="0"/>
          <w:tblHeader w:val="0"/>
        </w:trPr>
        <w:tc>
          <w:tcPr>
            <w:shd w:fill="eaf3f8" w:val="clear"/>
            <w:tcMar>
              <w:top w:w="110.0" w:type="dxa"/>
              <w:bottom w:w="110.0" w:type="dxa"/>
            </w:tcMar>
          </w:tcPr>
          <w:p w:rsidR="00000000" w:rsidDel="00000000" w:rsidP="00000000" w:rsidRDefault="00000000" w:rsidRPr="00000000" w14:paraId="00000005">
            <w:pPr>
              <w:rPr/>
            </w:pPr>
            <w:r w:rsidDel="00000000" w:rsidR="00000000" w:rsidRPr="00000000">
              <w:rPr>
                <w:b w:val="1"/>
                <w:bCs w:val="1"/>
                <w:color w:val="23313d"/>
                <w:sz w:val="20"/>
                <w:szCs w:val="20"/>
                <w:rtl w:val="0"/>
              </w:rPr>
              <w:t xml:space="preserve">SCOPE LOCK: This document finalizes B, B1, B2, B3, and B4 only. B5 remains downstream and is intentionally not defined here beyond the boundary that B4 hands an audited ledger forward.</w:t>
            </w:r>
            <w:r w:rsidDel="00000000" w:rsidR="00000000" w:rsidRPr="00000000">
              <w:rPr>
                <w:rtl w:val="0"/>
              </w:rPr>
            </w:r>
          </w:p>
        </w:tc>
      </w:tr>
    </w:tbl>
    <w:p w:rsidR="00000000" w:rsidDel="00000000" w:rsidP="00000000" w:rsidRDefault="00000000" w:rsidRPr="00000000" w14:paraId="00000006">
      <w:pPr>
        <w:pStyle w:val="Heading1"/>
        <w:rPr/>
      </w:pPr>
      <w:r w:rsidDel="00000000" w:rsidR="00000000" w:rsidRPr="00000000">
        <w:rPr>
          <w:rtl w:val="0"/>
        </w:rPr>
        <w:t xml:space="preserve">1. Architectural lock</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A1–A5 belong to Scout processing.</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is the handoff boundary from Scout into MARA. B validates schema fitness for downstream use; it does not perform candidate reasoning or target decomposition.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B1–B4 are MARA processing stages covered by this document.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B1 and B2 are target-side and candidate-blind.</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B3 is candidate evidence binding: permissive discovery is allowed, but B3 does not establish proposition-level truth.</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B4 is the proposition reality gate: exact truth, scope, evidence ceiling, and disposition are resolved here.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stage may invent candidate evidence, silently infer missing credentials, convert soft requirements into hard ones, or treat job title/occupational convention as proof.</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target may affect what evidence is queried, surfaced, and later emphasized; it may not rewrite candidate truth.</w:t>
      </w:r>
    </w:p>
    <w:p w:rsidR="00000000" w:rsidDel="00000000" w:rsidP="00000000" w:rsidRDefault="00000000" w:rsidRPr="00000000" w14:paraId="0000000F">
      <w:pPr>
        <w:pStyle w:val="Heading1"/>
        <w:pageBreakBefore w:val="1"/>
        <w:rPr/>
      </w:pPr>
      <w:r w:rsidDel="00000000" w:rsidR="00000000" w:rsidRPr="00000000">
        <w:rPr>
          <w:rtl w:val="0"/>
        </w:rPr>
        <w:t xml:space="preserve">2. End-to-end control diagram</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5a646e"/>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5a646e"/>
          <w:sz w:val="18"/>
          <w:szCs w:val="18"/>
          <w:u w:val="none"/>
          <w:shd w:fill="auto" w:val="clear"/>
          <w:vertAlign w:val="baseline"/>
          <w:rtl w:val="0"/>
        </w:rPr>
        <w:t xml:space="preserve">The diagram below places the finalized B–B4 segment in its proper upstream context without defining B5.</w:t>
      </w:r>
    </w:p>
    <w:tbl>
      <w:tblPr>
        <w:tblStyle w:val="Table2"/>
        <w:tblW w:w="10296.0" w:type="dxa"/>
        <w:jc w:val="center"/>
        <w:tblLayout w:type="fixed"/>
        <w:tblLook w:val="0400"/>
      </w:tblPr>
      <w:tblGrid>
        <w:gridCol w:w="2088"/>
        <w:gridCol w:w="8208"/>
        <w:tblGridChange w:id="0">
          <w:tblGrid>
            <w:gridCol w:w="2088"/>
            <w:gridCol w:w="8208"/>
          </w:tblGrid>
        </w:tblGridChange>
      </w:tblGrid>
      <w:tr>
        <w:trPr>
          <w:cantSplit w:val="0"/>
          <w:tblHeader w:val="0"/>
        </w:trPr>
        <w:tc>
          <w:tcPr>
            <w:shd w:fill="d9eaf2" w:val="clear"/>
            <w:tcMar>
              <w:top w:w="90.0" w:type="dxa"/>
              <w:bottom w:w="90.0" w:type="dxa"/>
            </w:tcMar>
            <w:vAlign w:val="center"/>
          </w:tcPr>
          <w:p w:rsidR="00000000" w:rsidDel="00000000" w:rsidP="00000000" w:rsidRDefault="00000000" w:rsidRPr="00000000" w14:paraId="00000011">
            <w:pPr>
              <w:jc w:val="center"/>
              <w:rPr/>
            </w:pPr>
            <w:r w:rsidDel="00000000" w:rsidR="00000000" w:rsidRPr="00000000">
              <w:rPr>
                <w:b w:val="1"/>
                <w:bCs w:val="1"/>
                <w:color w:val="123b52"/>
                <w:sz w:val="21"/>
                <w:szCs w:val="21"/>
                <w:rtl w:val="0"/>
              </w:rPr>
              <w:t xml:space="preserve">SCOUT</w:t>
            </w:r>
            <w:r w:rsidDel="00000000" w:rsidR="00000000" w:rsidRPr="00000000">
              <w:rPr>
                <w:rtl w:val="0"/>
              </w:rPr>
            </w:r>
          </w:p>
        </w:tc>
        <w:tc>
          <w:tcPr>
            <w:shd w:fill="d9eaf2" w:val="clear"/>
            <w:tcMar>
              <w:top w:w="90.0" w:type="dxa"/>
              <w:bottom w:w="90.0" w:type="dxa"/>
            </w:tcMar>
            <w:vAlign w:val="center"/>
          </w:tcPr>
          <w:p w:rsidR="00000000" w:rsidDel="00000000" w:rsidP="00000000" w:rsidRDefault="00000000" w:rsidRPr="00000000" w14:paraId="00000012">
            <w:pPr>
              <w:rPr/>
            </w:pPr>
            <w:r w:rsidDel="00000000" w:rsidR="00000000" w:rsidRPr="00000000">
              <w:rPr>
                <w:b w:val="1"/>
                <w:bCs w:val="1"/>
                <w:sz w:val="21"/>
                <w:szCs w:val="21"/>
                <w:rtl w:val="0"/>
              </w:rPr>
              <w:t xml:space="preserve">A1 → A2 → A3 → A4 → A5</w:t>
            </w:r>
            <w:r w:rsidDel="00000000" w:rsidR="00000000" w:rsidRPr="00000000">
              <w:rPr>
                <w:sz w:val="19"/>
                <w:szCs w:val="19"/>
                <w:rtl w:val="0"/>
              </w:rPr>
              <w:br w:type="textWrapping"/>
              <w:t xml:space="preserve">Scout completes observation/package preparation.</w:t>
            </w:r>
            <w:r w:rsidDel="00000000" w:rsidR="00000000" w:rsidRPr="00000000">
              <w:rPr>
                <w:rtl w:val="0"/>
              </w:rPr>
            </w:r>
          </w:p>
        </w:tc>
      </w:tr>
      <w:tr>
        <w:trPr>
          <w:cantSplit w:val="0"/>
          <w:tblHeader w:val="0"/>
        </w:trPr>
        <w:tc>
          <w:tcPr>
            <w:shd w:fill="fce8d5" w:val="clear"/>
            <w:tcMar>
              <w:top w:w="90.0" w:type="dxa"/>
              <w:bottom w:w="90.0" w:type="dxa"/>
            </w:tcMar>
            <w:vAlign w:val="center"/>
          </w:tcPr>
          <w:p w:rsidR="00000000" w:rsidDel="00000000" w:rsidP="00000000" w:rsidRDefault="00000000" w:rsidRPr="00000000" w14:paraId="00000013">
            <w:pPr>
              <w:jc w:val="center"/>
              <w:rPr/>
            </w:pPr>
            <w:r w:rsidDel="00000000" w:rsidR="00000000" w:rsidRPr="00000000">
              <w:rPr>
                <w:b w:val="1"/>
                <w:bCs w:val="1"/>
                <w:color w:val="123b52"/>
                <w:sz w:val="26"/>
                <w:szCs w:val="26"/>
                <w:rtl w:val="0"/>
              </w:rPr>
              <w:t xml:space="preserve">B</w:t>
            </w:r>
            <w:r w:rsidDel="00000000" w:rsidR="00000000" w:rsidRPr="00000000">
              <w:rPr>
                <w:rtl w:val="0"/>
              </w:rPr>
            </w:r>
          </w:p>
        </w:tc>
        <w:tc>
          <w:tcPr>
            <w:shd w:fill="fce8d5" w:val="clear"/>
            <w:tcMar>
              <w:top w:w="90.0" w:type="dxa"/>
              <w:bottom w:w="90.0" w:type="dxa"/>
            </w:tcMar>
            <w:vAlign w:val="center"/>
          </w:tcPr>
          <w:p w:rsidR="00000000" w:rsidDel="00000000" w:rsidP="00000000" w:rsidRDefault="00000000" w:rsidRPr="00000000" w14:paraId="00000014">
            <w:pPr>
              <w:rPr/>
            </w:pPr>
            <w:r w:rsidDel="00000000" w:rsidR="00000000" w:rsidRPr="00000000">
              <w:rPr>
                <w:b w:val="1"/>
                <w:bCs w:val="1"/>
                <w:sz w:val="21"/>
                <w:szCs w:val="21"/>
                <w:rtl w:val="0"/>
              </w:rPr>
              <w:t xml:space="preserve">HANDOFF — Schema validation only</w:t>
            </w:r>
            <w:r w:rsidDel="00000000" w:rsidR="00000000" w:rsidRPr="00000000">
              <w:rPr>
                <w:sz w:val="19"/>
                <w:szCs w:val="19"/>
                <w:rtl w:val="0"/>
              </w:rPr>
              <w:br w:type="textWrapping"/>
              <w:t xml:space="preserve">Confirm Scout output conforms to the schema MARA requires downstream. No target decomposition. No candidate reasoning.</w:t>
            </w:r>
            <w:r w:rsidDel="00000000" w:rsidR="00000000" w:rsidRPr="00000000">
              <w:rPr>
                <w:rtl w:val="0"/>
              </w:rPr>
            </w:r>
          </w:p>
        </w:tc>
      </w:tr>
      <w:tr>
        <w:trPr>
          <w:cantSplit w:val="0"/>
          <w:tblHeader w:val="0"/>
        </w:trPr>
        <w:tc>
          <w:tcPr>
            <w:shd w:fill="eaf3f8" w:val="clear"/>
            <w:tcMar>
              <w:top w:w="90.0" w:type="dxa"/>
              <w:bottom w:w="90.0" w:type="dxa"/>
            </w:tcMar>
            <w:vAlign w:val="center"/>
          </w:tcPr>
          <w:p w:rsidR="00000000" w:rsidDel="00000000" w:rsidP="00000000" w:rsidRDefault="00000000" w:rsidRPr="00000000" w14:paraId="00000015">
            <w:pPr>
              <w:jc w:val="center"/>
              <w:rPr/>
            </w:pPr>
            <w:r w:rsidDel="00000000" w:rsidR="00000000" w:rsidRPr="00000000">
              <w:rPr>
                <w:b w:val="1"/>
                <w:bCs w:val="1"/>
                <w:color w:val="123b52"/>
                <w:sz w:val="26"/>
                <w:szCs w:val="26"/>
                <w:rtl w:val="0"/>
              </w:rPr>
              <w:t xml:space="preserve">B1</w:t>
            </w:r>
            <w:r w:rsidDel="00000000" w:rsidR="00000000" w:rsidRPr="00000000">
              <w:rPr>
                <w:rtl w:val="0"/>
              </w:rPr>
            </w:r>
          </w:p>
        </w:tc>
        <w:tc>
          <w:tcPr>
            <w:shd w:fill="eaf3f8" w:val="clear"/>
            <w:tcMar>
              <w:top w:w="90.0" w:type="dxa"/>
              <w:bottom w:w="90.0" w:type="dxa"/>
            </w:tcMar>
            <w:vAlign w:val="center"/>
          </w:tcPr>
          <w:p w:rsidR="00000000" w:rsidDel="00000000" w:rsidP="00000000" w:rsidRDefault="00000000" w:rsidRPr="00000000" w14:paraId="00000016">
            <w:pPr>
              <w:rPr/>
            </w:pPr>
            <w:r w:rsidDel="00000000" w:rsidR="00000000" w:rsidRPr="00000000">
              <w:rPr>
                <w:b w:val="1"/>
                <w:bCs w:val="1"/>
                <w:sz w:val="21"/>
                <w:szCs w:val="21"/>
                <w:rtl w:val="0"/>
              </w:rPr>
              <w:t xml:space="preserve">DECOUPLE / TARGET DECOMPOSITION</w:t>
            </w:r>
            <w:r w:rsidDel="00000000" w:rsidR="00000000" w:rsidRPr="00000000">
              <w:rPr>
                <w:sz w:val="19"/>
                <w:szCs w:val="19"/>
                <w:rtl w:val="0"/>
              </w:rPr>
              <w:br w:type="textWrapping"/>
              <w:t xml:space="preserve">Parse the target object, preserve source meaning, identify routing, and run malform diagnostics. Candidate-blind.</w:t>
            </w:r>
            <w:r w:rsidDel="00000000" w:rsidR="00000000" w:rsidRPr="00000000">
              <w:rPr>
                <w:rtl w:val="0"/>
              </w:rPr>
            </w:r>
          </w:p>
        </w:tc>
      </w:tr>
      <w:tr>
        <w:trPr>
          <w:cantSplit w:val="0"/>
          <w:tblHeader w:val="0"/>
        </w:trPr>
        <w:tc>
          <w:tcPr>
            <w:shd w:fill="eaf3f8" w:val="clear"/>
            <w:tcMar>
              <w:top w:w="90.0" w:type="dxa"/>
              <w:bottom w:w="90.0" w:type="dxa"/>
            </w:tcMar>
            <w:vAlign w:val="center"/>
          </w:tcPr>
          <w:p w:rsidR="00000000" w:rsidDel="00000000" w:rsidP="00000000" w:rsidRDefault="00000000" w:rsidRPr="00000000" w14:paraId="00000017">
            <w:pPr>
              <w:jc w:val="center"/>
              <w:rPr/>
            </w:pPr>
            <w:r w:rsidDel="00000000" w:rsidR="00000000" w:rsidRPr="00000000">
              <w:rPr>
                <w:b w:val="1"/>
                <w:bCs w:val="1"/>
                <w:color w:val="123b52"/>
                <w:sz w:val="26"/>
                <w:szCs w:val="26"/>
                <w:rtl w:val="0"/>
              </w:rPr>
              <w:t xml:space="preserve">B2</w:t>
            </w:r>
            <w:r w:rsidDel="00000000" w:rsidR="00000000" w:rsidRPr="00000000">
              <w:rPr>
                <w:rtl w:val="0"/>
              </w:rPr>
            </w:r>
          </w:p>
        </w:tc>
        <w:tc>
          <w:tcPr>
            <w:shd w:fill="eaf3f8" w:val="clear"/>
            <w:tcMar>
              <w:top w:w="90.0" w:type="dxa"/>
              <w:bottom w:w="90.0" w:type="dxa"/>
            </w:tcMar>
            <w:vAlign w:val="center"/>
          </w:tcPr>
          <w:p w:rsidR="00000000" w:rsidDel="00000000" w:rsidP="00000000" w:rsidRDefault="00000000" w:rsidRPr="00000000" w14:paraId="00000018">
            <w:pPr>
              <w:rPr/>
            </w:pPr>
            <w:r w:rsidDel="00000000" w:rsidR="00000000" w:rsidRPr="00000000">
              <w:rPr>
                <w:b w:val="1"/>
                <w:bCs w:val="1"/>
                <w:sz w:val="21"/>
                <w:szCs w:val="21"/>
                <w:rtl w:val="0"/>
              </w:rPr>
              <w:t xml:space="preserve">CREATE TREE / TARGET TREE CONSTRUCTION</w:t>
            </w:r>
            <w:r w:rsidDel="00000000" w:rsidR="00000000" w:rsidRPr="00000000">
              <w:rPr>
                <w:sz w:val="19"/>
                <w:szCs w:val="19"/>
                <w:rtl w:val="0"/>
              </w:rPr>
              <w:br w:type="textWrapping"/>
              <w:t xml:space="preserve">Build the deterministic target hierarchy, semantic markers, structural addresses, and source-span traceability. Candidate-blind.</w:t>
            </w:r>
            <w:r w:rsidDel="00000000" w:rsidR="00000000" w:rsidRPr="00000000">
              <w:rPr>
                <w:rtl w:val="0"/>
              </w:rPr>
            </w:r>
          </w:p>
        </w:tc>
      </w:tr>
      <w:tr>
        <w:trPr>
          <w:cantSplit w:val="0"/>
          <w:tblHeader w:val="0"/>
        </w:trPr>
        <w:tc>
          <w:tcPr>
            <w:shd w:fill="e8f4ea" w:val="clear"/>
            <w:tcMar>
              <w:top w:w="90.0" w:type="dxa"/>
              <w:bottom w:w="90.0" w:type="dxa"/>
            </w:tcMar>
            <w:vAlign w:val="center"/>
          </w:tcPr>
          <w:p w:rsidR="00000000" w:rsidDel="00000000" w:rsidP="00000000" w:rsidRDefault="00000000" w:rsidRPr="00000000" w14:paraId="00000019">
            <w:pPr>
              <w:jc w:val="center"/>
              <w:rPr/>
            </w:pPr>
            <w:r w:rsidDel="00000000" w:rsidR="00000000" w:rsidRPr="00000000">
              <w:rPr>
                <w:b w:val="1"/>
                <w:bCs w:val="1"/>
                <w:color w:val="123b52"/>
                <w:sz w:val="26"/>
                <w:szCs w:val="26"/>
                <w:rtl w:val="0"/>
              </w:rPr>
              <w:t xml:space="preserve">B3</w:t>
            </w:r>
            <w:r w:rsidDel="00000000" w:rsidR="00000000" w:rsidRPr="00000000">
              <w:rPr>
                <w:rtl w:val="0"/>
              </w:rPr>
            </w:r>
          </w:p>
        </w:tc>
        <w:tc>
          <w:tcPr>
            <w:shd w:fill="e8f4ea" w:val="clear"/>
            <w:tcMar>
              <w:top w:w="90.0" w:type="dxa"/>
              <w:bottom w:w="90.0" w:type="dxa"/>
            </w:tcMar>
            <w:vAlign w:val="center"/>
          </w:tcPr>
          <w:p w:rsidR="00000000" w:rsidDel="00000000" w:rsidP="00000000" w:rsidRDefault="00000000" w:rsidRPr="00000000" w14:paraId="0000001A">
            <w:pPr>
              <w:rPr/>
            </w:pPr>
            <w:r w:rsidDel="00000000" w:rsidR="00000000" w:rsidRPr="00000000">
              <w:rPr>
                <w:b w:val="1"/>
                <w:bCs w:val="1"/>
                <w:sz w:val="21"/>
                <w:szCs w:val="21"/>
                <w:rtl w:val="0"/>
              </w:rPr>
              <w:t xml:space="preserve">BIND / CANDIDATE EVIDENCE BINDING</w:t>
            </w:r>
            <w:r w:rsidDel="00000000" w:rsidR="00000000" w:rsidRPr="00000000">
              <w:rPr>
                <w:sz w:val="19"/>
                <w:szCs w:val="19"/>
                <w:rtl w:val="0"/>
              </w:rPr>
              <w:br w:type="textWrapping"/>
              <w:t xml:space="preserve">Use target nodes to interrogate eligible candidate evidence. Surface direct, proximate, plausible, and transferable evidence without claiming proposition truth.</w:t>
            </w:r>
            <w:r w:rsidDel="00000000" w:rsidR="00000000" w:rsidRPr="00000000">
              <w:rPr>
                <w:rtl w:val="0"/>
              </w:rPr>
            </w:r>
          </w:p>
        </w:tc>
      </w:tr>
      <w:tr>
        <w:trPr>
          <w:cantSplit w:val="0"/>
          <w:tblHeader w:val="0"/>
        </w:trPr>
        <w:tc>
          <w:tcPr>
            <w:shd w:fill="f8e6e9" w:val="clear"/>
            <w:tcMar>
              <w:top w:w="90.0" w:type="dxa"/>
              <w:bottom w:w="90.0" w:type="dxa"/>
            </w:tcMar>
            <w:vAlign w:val="center"/>
          </w:tcPr>
          <w:p w:rsidR="00000000" w:rsidDel="00000000" w:rsidP="00000000" w:rsidRDefault="00000000" w:rsidRPr="00000000" w14:paraId="0000001B">
            <w:pPr>
              <w:jc w:val="center"/>
              <w:rPr/>
            </w:pPr>
            <w:r w:rsidDel="00000000" w:rsidR="00000000" w:rsidRPr="00000000">
              <w:rPr>
                <w:b w:val="1"/>
                <w:bCs w:val="1"/>
                <w:color w:val="123b52"/>
                <w:sz w:val="26"/>
                <w:szCs w:val="26"/>
                <w:rtl w:val="0"/>
              </w:rPr>
              <w:t xml:space="preserve">B4</w:t>
            </w:r>
            <w:r w:rsidDel="00000000" w:rsidR="00000000" w:rsidRPr="00000000">
              <w:rPr>
                <w:rtl w:val="0"/>
              </w:rPr>
            </w:r>
          </w:p>
        </w:tc>
        <w:tc>
          <w:tcPr>
            <w:shd w:fill="f8e6e9" w:val="clear"/>
            <w:tcMar>
              <w:top w:w="90.0" w:type="dxa"/>
              <w:bottom w:w="90.0" w:type="dxa"/>
            </w:tcMar>
            <w:vAlign w:val="center"/>
          </w:tcPr>
          <w:p w:rsidR="00000000" w:rsidDel="00000000" w:rsidP="00000000" w:rsidRDefault="00000000" w:rsidRPr="00000000" w14:paraId="0000001C">
            <w:pPr>
              <w:rPr/>
            </w:pPr>
            <w:r w:rsidDel="00000000" w:rsidR="00000000" w:rsidRPr="00000000">
              <w:rPr>
                <w:b w:val="1"/>
                <w:bCs w:val="1"/>
                <w:sz w:val="21"/>
                <w:szCs w:val="21"/>
                <w:rtl w:val="0"/>
              </w:rPr>
              <w:t xml:space="preserve">THE GATE / PROPOSITION REALITY CHECK</w:t>
            </w:r>
            <w:r w:rsidDel="00000000" w:rsidR="00000000" w:rsidRPr="00000000">
              <w:rPr>
                <w:sz w:val="19"/>
                <w:szCs w:val="19"/>
                <w:rtl w:val="0"/>
              </w:rPr>
              <w:br w:type="textWrapping"/>
              <w:t xml:space="preserve">Audit each proposed binding for exact truth, defensible scope, evidence ceiling, and final node disposition.</w:t>
            </w:r>
            <w:r w:rsidDel="00000000" w:rsidR="00000000" w:rsidRPr="00000000">
              <w:rPr>
                <w:rtl w:val="0"/>
              </w:rPr>
            </w:r>
          </w:p>
        </w:tc>
      </w:tr>
      <w:tr>
        <w:trPr>
          <w:cantSplit w:val="0"/>
          <w:tblHeader w:val="0"/>
        </w:trPr>
        <w:tc>
          <w:tcPr>
            <w:shd w:fill="f2f2f2" w:val="clear"/>
            <w:tcMar>
              <w:top w:w="90.0" w:type="dxa"/>
              <w:bottom w:w="90.0" w:type="dxa"/>
            </w:tcMar>
            <w:vAlign w:val="center"/>
          </w:tcPr>
          <w:p w:rsidR="00000000" w:rsidDel="00000000" w:rsidP="00000000" w:rsidRDefault="00000000" w:rsidRPr="00000000" w14:paraId="0000001D">
            <w:pPr>
              <w:jc w:val="center"/>
              <w:rPr/>
            </w:pPr>
            <w:r w:rsidDel="00000000" w:rsidR="00000000" w:rsidRPr="00000000">
              <w:rPr>
                <w:b w:val="1"/>
                <w:bCs w:val="1"/>
                <w:color w:val="123b52"/>
                <w:sz w:val="26"/>
                <w:szCs w:val="26"/>
                <w:rtl w:val="0"/>
              </w:rPr>
              <w:t xml:space="preserve">→</w:t>
            </w:r>
            <w:r w:rsidDel="00000000" w:rsidR="00000000" w:rsidRPr="00000000">
              <w:rPr>
                <w:rtl w:val="0"/>
              </w:rPr>
            </w:r>
          </w:p>
        </w:tc>
        <w:tc>
          <w:tcPr>
            <w:shd w:fill="f2f2f2" w:val="clear"/>
            <w:tcMar>
              <w:top w:w="90.0" w:type="dxa"/>
              <w:bottom w:w="90.0" w:type="dxa"/>
            </w:tcMar>
            <w:vAlign w:val="center"/>
          </w:tcPr>
          <w:p w:rsidR="00000000" w:rsidDel="00000000" w:rsidP="00000000" w:rsidRDefault="00000000" w:rsidRPr="00000000" w14:paraId="0000001E">
            <w:pPr>
              <w:rPr/>
            </w:pPr>
            <w:r w:rsidDel="00000000" w:rsidR="00000000" w:rsidRPr="00000000">
              <w:rPr>
                <w:b w:val="1"/>
                <w:bCs w:val="1"/>
                <w:sz w:val="21"/>
                <w:szCs w:val="21"/>
                <w:rtl w:val="0"/>
              </w:rPr>
              <w:t xml:space="preserve">Downstream boundary: B4 hands an audited ledger to B5. B5 is not defined in this document.</w:t>
            </w: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pageBreakBefore w:val="1"/>
        <w:rPr/>
      </w:pPr>
      <w:r w:rsidDel="00000000" w:rsidR="00000000" w:rsidRPr="00000000">
        <w:rPr>
          <w:rtl w:val="0"/>
        </w:rPr>
        <w:t xml:space="preserve">3. Stage ownership and stop conditions</w:t>
      </w:r>
    </w:p>
    <w:tbl>
      <w:tblPr>
        <w:tblStyle w:val="Table3"/>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0"/>
        </w:trPr>
        <w:tc>
          <w:tcPr>
            <w:shd w:fill="d9eaf2" w:val="clear"/>
          </w:tcPr>
          <w:p w:rsidR="00000000" w:rsidDel="00000000" w:rsidP="00000000" w:rsidRDefault="00000000" w:rsidRPr="00000000" w14:paraId="00000021">
            <w:pPr>
              <w:rPr/>
            </w:pPr>
            <w:r w:rsidDel="00000000" w:rsidR="00000000" w:rsidRPr="00000000">
              <w:rPr>
                <w:b w:val="1"/>
                <w:bCs w:val="1"/>
                <w:rtl w:val="0"/>
              </w:rPr>
              <w:t xml:space="preserve">Stage</w:t>
            </w:r>
            <w:r w:rsidDel="00000000" w:rsidR="00000000" w:rsidRPr="00000000">
              <w:rPr>
                <w:rtl w:val="0"/>
              </w:rPr>
            </w:r>
          </w:p>
        </w:tc>
        <w:tc>
          <w:tcPr>
            <w:shd w:fill="d9eaf2" w:val="clear"/>
          </w:tcPr>
          <w:p w:rsidR="00000000" w:rsidDel="00000000" w:rsidP="00000000" w:rsidRDefault="00000000" w:rsidRPr="00000000" w14:paraId="00000022">
            <w:pPr>
              <w:rPr/>
            </w:pPr>
            <w:r w:rsidDel="00000000" w:rsidR="00000000" w:rsidRPr="00000000">
              <w:rPr>
                <w:b w:val="1"/>
                <w:bCs w:val="1"/>
                <w:rtl w:val="0"/>
              </w:rPr>
              <w:t xml:space="preserve">Primary object</w:t>
            </w:r>
            <w:r w:rsidDel="00000000" w:rsidR="00000000" w:rsidRPr="00000000">
              <w:rPr>
                <w:rtl w:val="0"/>
              </w:rPr>
            </w:r>
          </w:p>
        </w:tc>
        <w:tc>
          <w:tcPr>
            <w:shd w:fill="d9eaf2" w:val="clear"/>
          </w:tcPr>
          <w:p w:rsidR="00000000" w:rsidDel="00000000" w:rsidP="00000000" w:rsidRDefault="00000000" w:rsidRPr="00000000" w14:paraId="00000023">
            <w:pPr>
              <w:rPr/>
            </w:pPr>
            <w:r w:rsidDel="00000000" w:rsidR="00000000" w:rsidRPr="00000000">
              <w:rPr>
                <w:b w:val="1"/>
                <w:bCs w:val="1"/>
                <w:rtl w:val="0"/>
              </w:rPr>
              <w:t xml:space="preserve">May inspect candidate?</w:t>
            </w:r>
            <w:r w:rsidDel="00000000" w:rsidR="00000000" w:rsidRPr="00000000">
              <w:rPr>
                <w:rtl w:val="0"/>
              </w:rPr>
            </w:r>
          </w:p>
        </w:tc>
        <w:tc>
          <w:tcPr>
            <w:shd w:fill="d9eaf2" w:val="clear"/>
          </w:tcPr>
          <w:p w:rsidR="00000000" w:rsidDel="00000000" w:rsidP="00000000" w:rsidRDefault="00000000" w:rsidRPr="00000000" w14:paraId="00000024">
            <w:pPr>
              <w:rPr/>
            </w:pPr>
            <w:r w:rsidDel="00000000" w:rsidR="00000000" w:rsidRPr="00000000">
              <w:rPr>
                <w:b w:val="1"/>
                <w:bCs w:val="1"/>
                <w:rtl w:val="0"/>
              </w:rPr>
              <w:t xml:space="preserve">Core job</w:t>
            </w:r>
            <w:r w:rsidDel="00000000" w:rsidR="00000000" w:rsidRPr="00000000">
              <w:rPr>
                <w:rtl w:val="0"/>
              </w:rPr>
            </w:r>
          </w:p>
        </w:tc>
        <w:tc>
          <w:tcPr>
            <w:shd w:fill="d9eaf2" w:val="clear"/>
          </w:tcPr>
          <w:p w:rsidR="00000000" w:rsidDel="00000000" w:rsidP="00000000" w:rsidRDefault="00000000" w:rsidRPr="00000000" w14:paraId="00000025">
            <w:pPr>
              <w:rPr/>
            </w:pPr>
            <w:r w:rsidDel="00000000" w:rsidR="00000000" w:rsidRPr="00000000">
              <w:rPr>
                <w:b w:val="1"/>
                <w:bCs w:val="1"/>
                <w:rtl w:val="0"/>
              </w:rPr>
              <w:t xml:space="preserve">Must stop before</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26">
            <w:pPr>
              <w:rPr/>
            </w:pPr>
            <w:r w:rsidDel="00000000" w:rsidR="00000000" w:rsidRPr="00000000">
              <w:rPr>
                <w:b w:val="1"/>
                <w:bCs w:val="1"/>
                <w:rtl w:val="0"/>
              </w:rPr>
              <w:t xml:space="preserve">B</w:t>
            </w:r>
            <w:r w:rsidDel="00000000" w:rsidR="00000000" w:rsidRPr="00000000">
              <w:rPr>
                <w:rtl w:val="0"/>
              </w:rPr>
            </w:r>
          </w:p>
        </w:tc>
        <w:tc>
          <w:tcPr>
            <w:tcMar>
              <w:top w:w="55.0" w:type="dxa"/>
              <w:bottom w:w="55.0" w:type="dxa"/>
            </w:tcMar>
          </w:tcPr>
          <w:p w:rsidR="00000000" w:rsidDel="00000000" w:rsidP="00000000" w:rsidRDefault="00000000" w:rsidRPr="00000000" w14:paraId="00000027">
            <w:pPr>
              <w:rPr/>
            </w:pPr>
            <w:r w:rsidDel="00000000" w:rsidR="00000000" w:rsidRPr="00000000">
              <w:rPr>
                <w:rtl w:val="0"/>
              </w:rPr>
              <w:t xml:space="preserve">Scout packet/schema</w:t>
            </w:r>
          </w:p>
        </w:tc>
        <w:tc>
          <w:tcPr>
            <w:tcMar>
              <w:top w:w="55.0" w:type="dxa"/>
              <w:bottom w:w="55.0" w:type="dxa"/>
            </w:tcMar>
          </w:tcPr>
          <w:p w:rsidR="00000000" w:rsidDel="00000000" w:rsidP="00000000" w:rsidRDefault="00000000" w:rsidRPr="00000000" w14:paraId="00000028">
            <w:pPr>
              <w:rPr/>
            </w:pPr>
            <w:r w:rsidDel="00000000" w:rsidR="00000000" w:rsidRPr="00000000">
              <w:rPr>
                <w:rtl w:val="0"/>
              </w:rPr>
              <w:t xml:space="preserve">No</w:t>
            </w:r>
          </w:p>
        </w:tc>
        <w:tc>
          <w:tcPr>
            <w:tcMar>
              <w:top w:w="55.0" w:type="dxa"/>
              <w:bottom w:w="55.0" w:type="dxa"/>
            </w:tcMar>
          </w:tcPr>
          <w:p w:rsidR="00000000" w:rsidDel="00000000" w:rsidP="00000000" w:rsidRDefault="00000000" w:rsidRPr="00000000" w14:paraId="00000029">
            <w:pPr>
              <w:rPr/>
            </w:pPr>
            <w:r w:rsidDel="00000000" w:rsidR="00000000" w:rsidRPr="00000000">
              <w:rPr>
                <w:rtl w:val="0"/>
              </w:rPr>
              <w:t xml:space="preserve">Validate handoff schema</w:t>
            </w:r>
          </w:p>
        </w:tc>
        <w:tc>
          <w:tcPr>
            <w:tcMar>
              <w:top w:w="55.0" w:type="dxa"/>
              <w:bottom w:w="55.0" w:type="dxa"/>
            </w:tcMar>
          </w:tcPr>
          <w:p w:rsidR="00000000" w:rsidDel="00000000" w:rsidP="00000000" w:rsidRDefault="00000000" w:rsidRPr="00000000" w14:paraId="0000002A">
            <w:pPr>
              <w:rPr/>
            </w:pPr>
            <w:r w:rsidDel="00000000" w:rsidR="00000000" w:rsidRPr="00000000">
              <w:rPr>
                <w:rtl w:val="0"/>
              </w:rPr>
              <w:t xml:space="preserve">Any substantive target/candidate reasoning</w:t>
            </w:r>
          </w:p>
        </w:tc>
      </w:tr>
      <w:tr>
        <w:trPr>
          <w:cantSplit w:val="0"/>
          <w:tblHeader w:val="0"/>
        </w:trPr>
        <w:tc>
          <w:tcPr>
            <w:tcMar>
              <w:top w:w="55.0" w:type="dxa"/>
              <w:bottom w:w="55.0" w:type="dxa"/>
            </w:tcMar>
          </w:tcPr>
          <w:p w:rsidR="00000000" w:rsidDel="00000000" w:rsidP="00000000" w:rsidRDefault="00000000" w:rsidRPr="00000000" w14:paraId="0000002B">
            <w:pPr>
              <w:rPr/>
            </w:pPr>
            <w:r w:rsidDel="00000000" w:rsidR="00000000" w:rsidRPr="00000000">
              <w:rPr>
                <w:b w:val="1"/>
                <w:bCs w:val="1"/>
                <w:rtl w:val="0"/>
              </w:rPr>
              <w:t xml:space="preserve">B1</w:t>
            </w:r>
            <w:r w:rsidDel="00000000" w:rsidR="00000000" w:rsidRPr="00000000">
              <w:rPr>
                <w:rtl w:val="0"/>
              </w:rPr>
            </w:r>
          </w:p>
        </w:tc>
        <w:tc>
          <w:tcPr>
            <w:tcMar>
              <w:top w:w="55.0" w:type="dxa"/>
              <w:bottom w:w="55.0" w:type="dxa"/>
            </w:tcMar>
          </w:tcPr>
          <w:p w:rsidR="00000000" w:rsidDel="00000000" w:rsidP="00000000" w:rsidRDefault="00000000" w:rsidRPr="00000000" w14:paraId="0000002C">
            <w:pPr>
              <w:rPr/>
            </w:pPr>
            <w:r w:rsidDel="00000000" w:rsidR="00000000" w:rsidRPr="00000000">
              <w:rPr>
                <w:rtl w:val="0"/>
              </w:rPr>
              <w:t xml:space="preserve">Target object</w:t>
            </w:r>
          </w:p>
        </w:tc>
        <w:tc>
          <w:tcPr>
            <w:tcMar>
              <w:top w:w="55.0" w:type="dxa"/>
              <w:bottom w:w="55.0" w:type="dxa"/>
            </w:tcMar>
          </w:tcPr>
          <w:p w:rsidR="00000000" w:rsidDel="00000000" w:rsidP="00000000" w:rsidRDefault="00000000" w:rsidRPr="00000000" w14:paraId="0000002D">
            <w:pPr>
              <w:rPr/>
            </w:pPr>
            <w:r w:rsidDel="00000000" w:rsidR="00000000" w:rsidRPr="00000000">
              <w:rPr>
                <w:rtl w:val="0"/>
              </w:rPr>
              <w:t xml:space="preserve">No</w:t>
            </w:r>
          </w:p>
        </w:tc>
        <w:tc>
          <w:tcPr>
            <w:tcMar>
              <w:top w:w="55.0" w:type="dxa"/>
              <w:bottom w:w="55.0" w:type="dxa"/>
            </w:tcMar>
          </w:tcPr>
          <w:p w:rsidR="00000000" w:rsidDel="00000000" w:rsidP="00000000" w:rsidRDefault="00000000" w:rsidRPr="00000000" w14:paraId="0000002E">
            <w:pPr>
              <w:rPr/>
            </w:pPr>
            <w:r w:rsidDel="00000000" w:rsidR="00000000" w:rsidRPr="00000000">
              <w:rPr>
                <w:rtl w:val="0"/>
              </w:rPr>
              <w:t xml:space="preserve">Decompose source target</w:t>
            </w:r>
          </w:p>
        </w:tc>
        <w:tc>
          <w:tcPr>
            <w:tcMar>
              <w:top w:w="55.0" w:type="dxa"/>
              <w:bottom w:w="55.0" w:type="dxa"/>
            </w:tcMar>
          </w:tcPr>
          <w:p w:rsidR="00000000" w:rsidDel="00000000" w:rsidP="00000000" w:rsidRDefault="00000000" w:rsidRPr="00000000" w14:paraId="0000002F">
            <w:pPr>
              <w:rPr/>
            </w:pPr>
            <w:r w:rsidDel="00000000" w:rsidR="00000000" w:rsidRPr="00000000">
              <w:rPr>
                <w:rtl w:val="0"/>
              </w:rPr>
              <w:t xml:space="preserve">Hierarchy/tree construction</w:t>
            </w:r>
          </w:p>
        </w:tc>
      </w:tr>
      <w:tr>
        <w:trPr>
          <w:cantSplit w:val="0"/>
          <w:tblHeader w:val="0"/>
        </w:trPr>
        <w:tc>
          <w:tcPr>
            <w:tcMar>
              <w:top w:w="55.0" w:type="dxa"/>
              <w:bottom w:w="55.0" w:type="dxa"/>
            </w:tcMar>
          </w:tcPr>
          <w:p w:rsidR="00000000" w:rsidDel="00000000" w:rsidP="00000000" w:rsidRDefault="00000000" w:rsidRPr="00000000" w14:paraId="00000030">
            <w:pPr>
              <w:rPr/>
            </w:pPr>
            <w:r w:rsidDel="00000000" w:rsidR="00000000" w:rsidRPr="00000000">
              <w:rPr>
                <w:b w:val="1"/>
                <w:bCs w:val="1"/>
                <w:rtl w:val="0"/>
              </w:rPr>
              <w:t xml:space="preserve">B2</w:t>
            </w:r>
            <w:r w:rsidDel="00000000" w:rsidR="00000000" w:rsidRPr="00000000">
              <w:rPr>
                <w:rtl w:val="0"/>
              </w:rPr>
            </w:r>
          </w:p>
        </w:tc>
        <w:tc>
          <w:tcPr>
            <w:tcMar>
              <w:top w:w="55.0" w:type="dxa"/>
              <w:bottom w:w="55.0" w:type="dxa"/>
            </w:tcMar>
          </w:tcPr>
          <w:p w:rsidR="00000000" w:rsidDel="00000000" w:rsidP="00000000" w:rsidRDefault="00000000" w:rsidRPr="00000000" w14:paraId="00000031">
            <w:pPr>
              <w:rPr/>
            </w:pPr>
            <w:r w:rsidDel="00000000" w:rsidR="00000000" w:rsidRPr="00000000">
              <w:rPr>
                <w:rtl w:val="0"/>
              </w:rPr>
              <w:t xml:space="preserve">B1 decomposition</w:t>
            </w:r>
          </w:p>
        </w:tc>
        <w:tc>
          <w:tcPr>
            <w:tcMar>
              <w:top w:w="55.0" w:type="dxa"/>
              <w:bottom w:w="55.0" w:type="dxa"/>
            </w:tcMar>
          </w:tcPr>
          <w:p w:rsidR="00000000" w:rsidDel="00000000" w:rsidP="00000000" w:rsidRDefault="00000000" w:rsidRPr="00000000" w14:paraId="00000032">
            <w:pPr>
              <w:rPr/>
            </w:pPr>
            <w:r w:rsidDel="00000000" w:rsidR="00000000" w:rsidRPr="00000000">
              <w:rPr>
                <w:rtl w:val="0"/>
              </w:rPr>
              <w:t xml:space="preserve">No</w:t>
            </w:r>
          </w:p>
        </w:tc>
        <w:tc>
          <w:tcPr>
            <w:tcMar>
              <w:top w:w="55.0" w:type="dxa"/>
              <w:bottom w:w="55.0" w:type="dxa"/>
            </w:tcMar>
          </w:tcPr>
          <w:p w:rsidR="00000000" w:rsidDel="00000000" w:rsidP="00000000" w:rsidRDefault="00000000" w:rsidRPr="00000000" w14:paraId="00000033">
            <w:pPr>
              <w:rPr/>
            </w:pPr>
            <w:r w:rsidDel="00000000" w:rsidR="00000000" w:rsidRPr="00000000">
              <w:rPr>
                <w:rtl w:val="0"/>
              </w:rPr>
              <w:t xml:space="preserve">Construct addressable target tree</w:t>
            </w:r>
          </w:p>
        </w:tc>
        <w:tc>
          <w:tcPr>
            <w:tcMar>
              <w:top w:w="55.0" w:type="dxa"/>
              <w:bottom w:w="55.0" w:type="dxa"/>
            </w:tcMar>
          </w:tcPr>
          <w:p w:rsidR="00000000" w:rsidDel="00000000" w:rsidP="00000000" w:rsidRDefault="00000000" w:rsidRPr="00000000" w14:paraId="00000034">
            <w:pPr>
              <w:rPr/>
            </w:pPr>
            <w:r w:rsidDel="00000000" w:rsidR="00000000" w:rsidRPr="00000000">
              <w:rPr>
                <w:rtl w:val="0"/>
              </w:rPr>
              <w:t xml:space="preserve">Candidate evidence query/binding</w:t>
            </w:r>
          </w:p>
        </w:tc>
      </w:tr>
      <w:tr>
        <w:trPr>
          <w:cantSplit w:val="0"/>
          <w:tblHeader w:val="0"/>
        </w:trPr>
        <w:tc>
          <w:tcPr>
            <w:tcMar>
              <w:top w:w="55.0" w:type="dxa"/>
              <w:bottom w:w="55.0" w:type="dxa"/>
            </w:tcMar>
          </w:tcPr>
          <w:p w:rsidR="00000000" w:rsidDel="00000000" w:rsidP="00000000" w:rsidRDefault="00000000" w:rsidRPr="00000000" w14:paraId="00000035">
            <w:pPr>
              <w:rPr/>
            </w:pPr>
            <w:r w:rsidDel="00000000" w:rsidR="00000000" w:rsidRPr="00000000">
              <w:rPr>
                <w:b w:val="1"/>
                <w:bCs w:val="1"/>
                <w:rtl w:val="0"/>
              </w:rPr>
              <w:t xml:space="preserve">B3</w:t>
            </w:r>
            <w:r w:rsidDel="00000000" w:rsidR="00000000" w:rsidRPr="00000000">
              <w:rPr>
                <w:rtl w:val="0"/>
              </w:rPr>
            </w:r>
          </w:p>
        </w:tc>
        <w:tc>
          <w:tcPr>
            <w:tcMar>
              <w:top w:w="55.0" w:type="dxa"/>
              <w:bottom w:w="55.0" w:type="dxa"/>
            </w:tcMar>
          </w:tcPr>
          <w:p w:rsidR="00000000" w:rsidDel="00000000" w:rsidP="00000000" w:rsidRDefault="00000000" w:rsidRPr="00000000" w14:paraId="00000036">
            <w:pPr>
              <w:rPr/>
            </w:pPr>
            <w:r w:rsidDel="00000000" w:rsidR="00000000" w:rsidRPr="00000000">
              <w:rPr>
                <w:rtl w:val="0"/>
              </w:rPr>
              <w:t xml:space="preserve">Target nodes + candidate corpus</w:t>
            </w:r>
          </w:p>
        </w:tc>
        <w:tc>
          <w:tcPr>
            <w:tcMar>
              <w:top w:w="55.0" w:type="dxa"/>
              <w:bottom w:w="55.0" w:type="dxa"/>
            </w:tcMar>
          </w:tcPr>
          <w:p w:rsidR="00000000" w:rsidDel="00000000" w:rsidP="00000000" w:rsidRDefault="00000000" w:rsidRPr="00000000" w14:paraId="00000037">
            <w:pPr>
              <w:rPr/>
            </w:pPr>
            <w:r w:rsidDel="00000000" w:rsidR="00000000" w:rsidRPr="00000000">
              <w:rPr>
                <w:rtl w:val="0"/>
              </w:rPr>
              <w:t xml:space="preserve">Yes</w:t>
            </w:r>
          </w:p>
        </w:tc>
        <w:tc>
          <w:tcPr>
            <w:tcMar>
              <w:top w:w="55.0" w:type="dxa"/>
              <w:bottom w:w="55.0" w:type="dxa"/>
            </w:tcMar>
          </w:tcPr>
          <w:p w:rsidR="00000000" w:rsidDel="00000000" w:rsidP="00000000" w:rsidRDefault="00000000" w:rsidRPr="00000000" w14:paraId="00000038">
            <w:pPr>
              <w:rPr/>
            </w:pPr>
            <w:r w:rsidDel="00000000" w:rsidR="00000000" w:rsidRPr="00000000">
              <w:rPr>
                <w:rtl w:val="0"/>
              </w:rPr>
              <w:t xml:space="preserve">Surface and bind candidate evidence</w:t>
            </w:r>
          </w:p>
        </w:tc>
        <w:tc>
          <w:tcPr>
            <w:tcMar>
              <w:top w:w="55.0" w:type="dxa"/>
              <w:bottom w:w="55.0" w:type="dxa"/>
            </w:tcMar>
          </w:tcPr>
          <w:p w:rsidR="00000000" w:rsidDel="00000000" w:rsidP="00000000" w:rsidRDefault="00000000" w:rsidRPr="00000000" w14:paraId="00000039">
            <w:pPr>
              <w:rPr/>
            </w:pPr>
            <w:r w:rsidDel="00000000" w:rsidR="00000000" w:rsidRPr="00000000">
              <w:rPr>
                <w:rtl w:val="0"/>
              </w:rPr>
              <w:t xml:space="preserve">Final proposition truth / qualification</w:t>
            </w:r>
          </w:p>
        </w:tc>
      </w:tr>
      <w:tr>
        <w:trPr>
          <w:cantSplit w:val="0"/>
          <w:tblHeader w:val="0"/>
        </w:trPr>
        <w:tc>
          <w:tcPr>
            <w:tcMar>
              <w:top w:w="55.0" w:type="dxa"/>
              <w:bottom w:w="55.0" w:type="dxa"/>
            </w:tcMar>
          </w:tcPr>
          <w:p w:rsidR="00000000" w:rsidDel="00000000" w:rsidP="00000000" w:rsidRDefault="00000000" w:rsidRPr="00000000" w14:paraId="0000003A">
            <w:pPr>
              <w:rPr/>
            </w:pPr>
            <w:r w:rsidDel="00000000" w:rsidR="00000000" w:rsidRPr="00000000">
              <w:rPr>
                <w:b w:val="1"/>
                <w:bCs w:val="1"/>
                <w:rtl w:val="0"/>
              </w:rPr>
              <w:t xml:space="preserve">B4</w:t>
            </w:r>
            <w:r w:rsidDel="00000000" w:rsidR="00000000" w:rsidRPr="00000000">
              <w:rPr>
                <w:rtl w:val="0"/>
              </w:rPr>
            </w:r>
          </w:p>
        </w:tc>
        <w:tc>
          <w:tcPr>
            <w:tcMar>
              <w:top w:w="55.0" w:type="dxa"/>
              <w:bottom w:w="55.0" w:type="dxa"/>
            </w:tcMar>
          </w:tcPr>
          <w:p w:rsidR="00000000" w:rsidDel="00000000" w:rsidP="00000000" w:rsidRDefault="00000000" w:rsidRPr="00000000" w14:paraId="0000003B">
            <w:pPr>
              <w:rPr/>
            </w:pPr>
            <w:r w:rsidDel="00000000" w:rsidR="00000000" w:rsidRPr="00000000">
              <w:rPr>
                <w:rtl w:val="0"/>
              </w:rPr>
              <w:t xml:space="preserve">B3 bindings</w:t>
            </w:r>
          </w:p>
        </w:tc>
        <w:tc>
          <w:tcPr>
            <w:tcMar>
              <w:top w:w="55.0" w:type="dxa"/>
              <w:bottom w:w="55.0" w:type="dxa"/>
            </w:tcMar>
          </w:tcPr>
          <w:p w:rsidR="00000000" w:rsidDel="00000000" w:rsidP="00000000" w:rsidRDefault="00000000" w:rsidRPr="00000000" w14:paraId="0000003C">
            <w:pPr>
              <w:rPr/>
            </w:pPr>
            <w:r w:rsidDel="00000000" w:rsidR="00000000" w:rsidRPr="00000000">
              <w:rPr>
                <w:rtl w:val="0"/>
              </w:rPr>
              <w:t xml:space="preserve">Yes</w:t>
            </w:r>
          </w:p>
        </w:tc>
        <w:tc>
          <w:tcPr>
            <w:tcMar>
              <w:top w:w="55.0" w:type="dxa"/>
              <w:bottom w:w="55.0" w:type="dxa"/>
            </w:tcMar>
          </w:tcPr>
          <w:p w:rsidR="00000000" w:rsidDel="00000000" w:rsidP="00000000" w:rsidRDefault="00000000" w:rsidRPr="00000000" w14:paraId="0000003D">
            <w:pPr>
              <w:rPr/>
            </w:pPr>
            <w:r w:rsidDel="00000000" w:rsidR="00000000" w:rsidRPr="00000000">
              <w:rPr>
                <w:rtl w:val="0"/>
              </w:rPr>
              <w:t xml:space="preserve">Resolve exact truth, scope, ceiling, disposition</w:t>
            </w:r>
          </w:p>
        </w:tc>
        <w:tc>
          <w:tcPr>
            <w:tcMar>
              <w:top w:w="55.0" w:type="dxa"/>
              <w:bottom w:w="55.0" w:type="dxa"/>
            </w:tcMar>
          </w:tcPr>
          <w:p w:rsidR="00000000" w:rsidDel="00000000" w:rsidP="00000000" w:rsidRDefault="00000000" w:rsidRPr="00000000" w14:paraId="0000003E">
            <w:pPr>
              <w:rPr/>
            </w:pPr>
            <w:r w:rsidDel="00000000" w:rsidR="00000000" w:rsidRPr="00000000">
              <w:rPr>
                <w:rtl w:val="0"/>
              </w:rPr>
              <w:t xml:space="preserve">B5 synthesis/advocacy</w:t>
            </w:r>
          </w:p>
        </w:tc>
      </w:tr>
    </w:tbl>
    <w:p w:rsidR="00000000" w:rsidDel="00000000" w:rsidP="00000000" w:rsidRDefault="00000000" w:rsidRPr="00000000" w14:paraId="0000003F">
      <w:pPr>
        <w:pStyle w:val="Heading1"/>
        <w:rPr/>
      </w:pPr>
      <w:r w:rsidDel="00000000" w:rsidR="00000000" w:rsidRPr="00000000">
        <w:rPr>
          <w:rtl w:val="0"/>
        </w:rPr>
        <w:t xml:space="preserve">4. B — Scout→MARA handoff</w:t>
      </w:r>
    </w:p>
    <w:tbl>
      <w:tblPr>
        <w:tblStyle w:val="Table4"/>
        <w:tblW w:w="10282.0" w:type="dxa"/>
        <w:jc w:val="center"/>
        <w:tblLayout w:type="fixed"/>
        <w:tblLook w:val="0400"/>
      </w:tblPr>
      <w:tblGrid>
        <w:gridCol w:w="10282"/>
        <w:tblGridChange w:id="0">
          <w:tblGrid>
            <w:gridCol w:w="10282"/>
          </w:tblGrid>
        </w:tblGridChange>
      </w:tblGrid>
      <w:tr>
        <w:trPr>
          <w:cantSplit w:val="0"/>
          <w:tblHeader w:val="0"/>
        </w:trPr>
        <w:tc>
          <w:tcPr>
            <w:shd w:fill="fce8d5" w:val="clear"/>
            <w:tcMar>
              <w:top w:w="110.0" w:type="dxa"/>
              <w:bottom w:w="110.0" w:type="dxa"/>
            </w:tcMar>
          </w:tcPr>
          <w:p w:rsidR="00000000" w:rsidDel="00000000" w:rsidP="00000000" w:rsidRDefault="00000000" w:rsidRPr="00000000" w14:paraId="00000040">
            <w:pPr>
              <w:rPr/>
            </w:pPr>
            <w:r w:rsidDel="00000000" w:rsidR="00000000" w:rsidRPr="00000000">
              <w:rPr>
                <w:b w:val="1"/>
                <w:bCs w:val="1"/>
                <w:color w:val="23313d"/>
                <w:sz w:val="20"/>
                <w:szCs w:val="20"/>
                <w:rtl w:val="0"/>
              </w:rPr>
              <w:t xml:space="preserve">B is a boundary, not a reasoning stage.</w:t>
            </w:r>
            <w:r w:rsidDel="00000000" w:rsidR="00000000" w:rsidRPr="00000000">
              <w:rPr>
                <w:rtl w:val="0"/>
              </w:rPr>
            </w:r>
          </w:p>
        </w:tc>
      </w:tr>
    </w:tbl>
    <w:p w:rsidR="00000000" w:rsidDel="00000000" w:rsidP="00000000" w:rsidRDefault="00000000" w:rsidRPr="00000000" w14:paraId="00000041">
      <w:pPr>
        <w:pStyle w:val="Heading2"/>
        <w:rPr/>
      </w:pPr>
      <w:r w:rsidDel="00000000" w:rsidR="00000000" w:rsidRPr="00000000">
        <w:rPr>
          <w:rtl w:val="0"/>
        </w:rPr>
        <w:t xml:space="preserve">Purpose</w:t>
      </w:r>
    </w:p>
    <w:p w:rsidR="00000000" w:rsidDel="00000000" w:rsidP="00000000" w:rsidRDefault="00000000" w:rsidRPr="00000000" w14:paraId="00000042">
      <w:pPr>
        <w:rPr/>
      </w:pPr>
      <w:r w:rsidDel="00000000" w:rsidR="00000000" w:rsidRPr="00000000">
        <w:rPr>
          <w:rtl w:val="0"/>
        </w:rPr>
        <w:t xml:space="preserve">B receives Scout’s completed observation packet and checks only whether the packet conforms to the schema required by downstream MARA processing.</w:t>
      </w:r>
    </w:p>
    <w:p w:rsidR="00000000" w:rsidDel="00000000" w:rsidP="00000000" w:rsidRDefault="00000000" w:rsidRPr="00000000" w14:paraId="00000043">
      <w:pPr>
        <w:pStyle w:val="Heading2"/>
        <w:rPr/>
      </w:pPr>
      <w:r w:rsidDel="00000000" w:rsidR="00000000" w:rsidRPr="00000000">
        <w:rPr>
          <w:rtl w:val="0"/>
        </w:rPr>
        <w:t xml:space="preserve">B validates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required fields and structural shape are present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field types / object shape are valid for MARA consumption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source payload is routable into B1 without silent repair</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handoff preserves source authority and does not substitute MARA interpretation for Scout output</w:t>
      </w:r>
    </w:p>
    <w:p w:rsidR="00000000" w:rsidDel="00000000" w:rsidP="00000000" w:rsidRDefault="00000000" w:rsidRPr="00000000" w14:paraId="00000048">
      <w:pPr>
        <w:pStyle w:val="Heading2"/>
        <w:rPr/>
      </w:pPr>
      <w:r w:rsidDel="00000000" w:rsidR="00000000" w:rsidRPr="00000000">
        <w:rPr>
          <w:rtl w:val="0"/>
        </w:rPr>
        <w:t xml:space="preserve">B does not</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decompose the target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inspect candidate evidence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select an archetype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activate candidate planes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determine fit or relevance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bind evidence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repair semantic gaps by inference</w:t>
      </w:r>
    </w:p>
    <w:p w:rsidR="00000000" w:rsidDel="00000000" w:rsidP="00000000" w:rsidRDefault="00000000" w:rsidRPr="00000000" w14:paraId="00000050">
      <w:pPr>
        <w:pStyle w:val="Heading1"/>
        <w:rPr/>
      </w:pPr>
      <w:r w:rsidDel="00000000" w:rsidR="00000000" w:rsidRPr="00000000">
        <w:rPr>
          <w:rtl w:val="0"/>
        </w:rPr>
        <w:t xml:space="preserve">5. B1 — Decouple / Target Decomposition</w:t>
      </w:r>
    </w:p>
    <w:tbl>
      <w:tblPr>
        <w:tblStyle w:val="Table5"/>
        <w:tblW w:w="10282.0" w:type="dxa"/>
        <w:jc w:val="center"/>
        <w:tblLayout w:type="fixed"/>
        <w:tblLook w:val="0400"/>
      </w:tblPr>
      <w:tblGrid>
        <w:gridCol w:w="10282"/>
        <w:tblGridChange w:id="0">
          <w:tblGrid>
            <w:gridCol w:w="10282"/>
          </w:tblGrid>
        </w:tblGridChange>
      </w:tblGrid>
      <w:tr>
        <w:trPr>
          <w:cantSplit w:val="0"/>
          <w:tblHeader w:val="0"/>
        </w:trPr>
        <w:tc>
          <w:tcPr>
            <w:shd w:fill="eaf3f8" w:val="clear"/>
            <w:tcMar>
              <w:top w:w="110.0" w:type="dxa"/>
              <w:bottom w:w="110.0" w:type="dxa"/>
            </w:tcMar>
          </w:tcPr>
          <w:p w:rsidR="00000000" w:rsidDel="00000000" w:rsidP="00000000" w:rsidRDefault="00000000" w:rsidRPr="00000000" w14:paraId="00000051">
            <w:pPr>
              <w:rPr/>
            </w:pPr>
            <w:r w:rsidDel="00000000" w:rsidR="00000000" w:rsidRPr="00000000">
              <w:rPr>
                <w:b w:val="1"/>
                <w:bCs w:val="1"/>
                <w:color w:val="23313d"/>
                <w:sz w:val="20"/>
                <w:szCs w:val="20"/>
                <w:rtl w:val="0"/>
              </w:rPr>
              <w:t xml:space="preserve">B1 asks: WHAT DOES THIS TARGET OBJECT ACTUALLY CONTAIN?</w:t>
            </w:r>
            <w:r w:rsidDel="00000000" w:rsidR="00000000" w:rsidRPr="00000000">
              <w:rPr>
                <w:rtl w:val="0"/>
              </w:rPr>
            </w:r>
          </w:p>
        </w:tc>
      </w:tr>
    </w:tbl>
    <w:p w:rsidR="00000000" w:rsidDel="00000000" w:rsidP="00000000" w:rsidRDefault="00000000" w:rsidRPr="00000000" w14:paraId="00000052">
      <w:pPr>
        <w:pStyle w:val="Heading2"/>
        <w:rPr/>
      </w:pPr>
      <w:r w:rsidDel="00000000" w:rsidR="00000000" w:rsidRPr="00000000">
        <w:rPr>
          <w:rtl w:val="0"/>
        </w:rPr>
        <w:t xml:space="preserve">Purpose</w:t>
      </w:r>
    </w:p>
    <w:p w:rsidR="00000000" w:rsidDel="00000000" w:rsidP="00000000" w:rsidRDefault="00000000" w:rsidRPr="00000000" w14:paraId="00000053">
      <w:pPr>
        <w:rPr/>
      </w:pPr>
      <w:r w:rsidDel="00000000" w:rsidR="00000000" w:rsidRPr="00000000">
        <w:rPr>
          <w:rtl w:val="0"/>
        </w:rPr>
        <w:t xml:space="preserve">B1 receives the schema-valid Scout job object and decomposes the target as written. It is tabula-rasa, target-side, and candidate-blind.</w:t>
      </w:r>
    </w:p>
    <w:p w:rsidR="00000000" w:rsidDel="00000000" w:rsidP="00000000" w:rsidRDefault="00000000" w:rsidRPr="00000000" w14:paraId="00000054">
      <w:pPr>
        <w:pStyle w:val="Heading2"/>
        <w:rPr/>
      </w:pPr>
      <w:r w:rsidDel="00000000" w:rsidR="00000000" w:rsidRPr="00000000">
        <w:rPr>
          <w:rtl w:val="0"/>
        </w:rPr>
        <w:t xml:space="preserve">Source authority</w:t>
      </w:r>
    </w:p>
    <w:p w:rsidR="00000000" w:rsidDel="00000000" w:rsidP="00000000" w:rsidRDefault="00000000" w:rsidRPr="00000000" w14:paraId="00000055">
      <w:pPr>
        <w:rPr/>
      </w:pPr>
      <w:r w:rsidDel="00000000" w:rsidR="00000000" w:rsidRPr="00000000">
        <w:rPr>
          <w:rtl w:val="0"/>
        </w:rPr>
        <w:t xml:space="preserve">The posting/job object is authoritative for B1. Candidate information is prohibited at this stage.</w:t>
      </w:r>
    </w:p>
    <w:p w:rsidR="00000000" w:rsidDel="00000000" w:rsidP="00000000" w:rsidRDefault="00000000" w:rsidRPr="00000000" w14:paraId="00000056">
      <w:pPr>
        <w:pStyle w:val="Heading2"/>
        <w:rPr/>
      </w:pPr>
      <w:r w:rsidDel="00000000" w:rsidR="00000000" w:rsidRPr="00000000">
        <w:rPr>
          <w:rtl w:val="0"/>
        </w:rPr>
        <w:t xml:space="preserve">Target identification capture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company / organization / posting party</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job title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requisition or posting ID when available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employment type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location and work arrangement</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relocation terms if present</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compensation and additional compensation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schedule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posting / closing date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other material target identity information</w:t>
      </w:r>
    </w:p>
    <w:p w:rsidR="00000000" w:rsidDel="00000000" w:rsidP="00000000" w:rsidRDefault="00000000" w:rsidRPr="00000000" w14:paraId="00000061">
      <w:pPr>
        <w:pStyle w:val="Heading2"/>
        <w:rPr/>
      </w:pPr>
      <w:r w:rsidDel="00000000" w:rsidR="00000000" w:rsidRPr="00000000">
        <w:rPr>
          <w:rtl w:val="0"/>
        </w:rPr>
        <w:t xml:space="preserve">Application routing capture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application method</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destination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URL / endpoint</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recruiter or contact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required materials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subject line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special instructions</w:t>
      </w:r>
    </w:p>
    <w:p w:rsidR="00000000" w:rsidDel="00000000" w:rsidP="00000000" w:rsidRDefault="00000000" w:rsidRPr="00000000" w14:paraId="00000069">
      <w:pPr>
        <w:pStyle w:val="Heading2"/>
        <w:rPr/>
      </w:pPr>
      <w:r w:rsidDel="00000000" w:rsidR="00000000" w:rsidRPr="00000000">
        <w:rPr>
          <w:rtl w:val="0"/>
        </w:rPr>
        <w:t xml:space="preserve">Malform diagnostic — only two hard object-validity fields</w:t>
      </w:r>
    </w:p>
    <w:tbl>
      <w:tblPr>
        <w:tblStyle w:val="Table6"/>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0"/>
        </w:trPr>
        <w:tc>
          <w:tcPr>
            <w:shd w:fill="d9eaf2" w:val="clear"/>
          </w:tcPr>
          <w:p w:rsidR="00000000" w:rsidDel="00000000" w:rsidP="00000000" w:rsidRDefault="00000000" w:rsidRPr="00000000" w14:paraId="0000006A">
            <w:pPr>
              <w:rPr/>
            </w:pPr>
            <w:r w:rsidDel="00000000" w:rsidR="00000000" w:rsidRPr="00000000">
              <w:rPr>
                <w:b w:val="1"/>
                <w:bCs w:val="1"/>
                <w:rtl w:val="0"/>
              </w:rPr>
              <w:t xml:space="preserve">Condition</w:t>
            </w:r>
            <w:r w:rsidDel="00000000" w:rsidR="00000000" w:rsidRPr="00000000">
              <w:rPr>
                <w:rtl w:val="0"/>
              </w:rPr>
            </w:r>
          </w:p>
        </w:tc>
        <w:tc>
          <w:tcPr>
            <w:shd w:fill="d9eaf2" w:val="clear"/>
          </w:tcPr>
          <w:p w:rsidR="00000000" w:rsidDel="00000000" w:rsidP="00000000" w:rsidRDefault="00000000" w:rsidRPr="00000000" w14:paraId="0000006B">
            <w:pPr>
              <w:rPr/>
            </w:pPr>
            <w:r w:rsidDel="00000000" w:rsidR="00000000" w:rsidRPr="00000000">
              <w:rPr>
                <w:b w:val="1"/>
                <w:bCs w:val="1"/>
                <w:rtl w:val="0"/>
              </w:rPr>
              <w:t xml:space="preserve">State</w:t>
            </w:r>
            <w:r w:rsidDel="00000000" w:rsidR="00000000" w:rsidRPr="00000000">
              <w:rPr>
                <w:rtl w:val="0"/>
              </w:rPr>
            </w:r>
          </w:p>
        </w:tc>
        <w:tc>
          <w:tcPr>
            <w:shd w:fill="d9eaf2" w:val="clear"/>
          </w:tcPr>
          <w:p w:rsidR="00000000" w:rsidDel="00000000" w:rsidP="00000000" w:rsidRDefault="00000000" w:rsidRPr="00000000" w14:paraId="0000006C">
            <w:pPr>
              <w:rPr/>
            </w:pPr>
            <w:r w:rsidDel="00000000" w:rsidR="00000000" w:rsidRPr="00000000">
              <w:rPr>
                <w:b w:val="1"/>
                <w:bCs w:val="1"/>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Origin absent</w:t>
            </w:r>
          </w:p>
        </w:tc>
        <w:tc>
          <w:tcPr/>
          <w:p w:rsidR="00000000" w:rsidDel="00000000" w:rsidP="00000000" w:rsidRDefault="00000000" w:rsidRPr="00000000" w14:paraId="0000006E">
            <w:pPr>
              <w:rPr/>
            </w:pPr>
            <w:r w:rsidDel="00000000" w:rsidR="00000000" w:rsidRPr="00000000">
              <w:rPr>
                <w:rtl w:val="0"/>
              </w:rPr>
              <w:t xml:space="preserve">MALFORMED — ORIGIN MISSING</w:t>
            </w:r>
          </w:p>
        </w:tc>
        <w:tc>
          <w:tcPr/>
          <w:p w:rsidR="00000000" w:rsidDel="00000000" w:rsidP="00000000" w:rsidRDefault="00000000" w:rsidRPr="00000000" w14:paraId="0000006F">
            <w:pPr>
              <w:rPr/>
            </w:pPr>
            <w:r w:rsidDel="00000000" w:rsidR="00000000" w:rsidRPr="00000000">
              <w:rPr>
                <w:rtl w:val="0"/>
              </w:rPr>
              <w:t xml:space="preserve">Target object has no identifiable source/origin.</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Destination absent</w:t>
            </w:r>
          </w:p>
        </w:tc>
        <w:tc>
          <w:tcPr/>
          <w:p w:rsidR="00000000" w:rsidDel="00000000" w:rsidP="00000000" w:rsidRDefault="00000000" w:rsidRPr="00000000" w14:paraId="00000071">
            <w:pPr>
              <w:rPr/>
            </w:pPr>
            <w:r w:rsidDel="00000000" w:rsidR="00000000" w:rsidRPr="00000000">
              <w:rPr>
                <w:rtl w:val="0"/>
              </w:rPr>
              <w:t xml:space="preserve">MALFORMED — DESTINATION MISSING</w:t>
            </w:r>
          </w:p>
        </w:tc>
        <w:tc>
          <w:tcPr/>
          <w:p w:rsidR="00000000" w:rsidDel="00000000" w:rsidP="00000000" w:rsidRDefault="00000000" w:rsidRPr="00000000" w14:paraId="00000072">
            <w:pPr>
              <w:rPr/>
            </w:pPr>
            <w:r w:rsidDel="00000000" w:rsidR="00000000" w:rsidRPr="00000000">
              <w:rPr>
                <w:rtl w:val="0"/>
              </w:rPr>
              <w:t xml:space="preserve">Target object cannot be routed to an application destination.</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Both absent</w:t>
            </w:r>
          </w:p>
        </w:tc>
        <w:tc>
          <w:tcPr/>
          <w:p w:rsidR="00000000" w:rsidDel="00000000" w:rsidP="00000000" w:rsidRDefault="00000000" w:rsidRPr="00000000" w14:paraId="00000074">
            <w:pPr>
              <w:rPr/>
            </w:pPr>
            <w:r w:rsidDel="00000000" w:rsidR="00000000" w:rsidRPr="00000000">
              <w:rPr>
                <w:rtl w:val="0"/>
              </w:rPr>
              <w:t xml:space="preserve">MALFORMED — UNROUTABLE JOB OBJECT</w:t>
            </w:r>
          </w:p>
        </w:tc>
        <w:tc>
          <w:tcPr/>
          <w:p w:rsidR="00000000" w:rsidDel="00000000" w:rsidP="00000000" w:rsidRDefault="00000000" w:rsidRPr="00000000" w14:paraId="00000075">
            <w:pPr>
              <w:rPr/>
            </w:pPr>
            <w:r w:rsidDel="00000000" w:rsidR="00000000" w:rsidRPr="00000000">
              <w:rPr>
                <w:rtl w:val="0"/>
              </w:rPr>
              <w:t xml:space="preserve">Target object lacks both origin and actionable destination.</w:t>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5a646e"/>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5a646e"/>
          <w:sz w:val="18"/>
          <w:szCs w:val="18"/>
          <w:u w:val="none"/>
          <w:shd w:fill="auto" w:val="clear"/>
          <w:vertAlign w:val="baseline"/>
          <w:rtl w:val="0"/>
        </w:rPr>
        <w:t xml:space="preserve">Missing salary, location, schedule, or other ordinary posting fields does not by itself make the target malformed. Diagnostic tests may continue with the malform state attached.</w:t>
      </w:r>
    </w:p>
    <w:p w:rsidR="00000000" w:rsidDel="00000000" w:rsidP="00000000" w:rsidRDefault="00000000" w:rsidRPr="00000000" w14:paraId="00000077">
      <w:pPr>
        <w:pStyle w:val="Heading2"/>
        <w:rPr/>
      </w:pPr>
      <w:r w:rsidDel="00000000" w:rsidR="00000000" w:rsidRPr="00000000">
        <w:rPr>
          <w:rtl w:val="0"/>
        </w:rPr>
        <w:t xml:space="preserve">B1 may not</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inspect candidate SDNA or candidate evidence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select an archetype or candidate type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activate candidate planes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determine candidate fit or relevance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bind candidate evidence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alter candidate evidence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invent target requirements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convert soft requirements into hard gates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invent numeric thresholds</w:t>
      </w:r>
    </w:p>
    <w:p w:rsidR="00000000" w:rsidDel="00000000" w:rsidP="00000000" w:rsidRDefault="00000000" w:rsidRPr="00000000" w14:paraId="00000081">
      <w:pPr>
        <w:pStyle w:val="Heading1"/>
        <w:rPr/>
      </w:pPr>
      <w:r w:rsidDel="00000000" w:rsidR="00000000" w:rsidRPr="00000000">
        <w:rPr>
          <w:rtl w:val="0"/>
        </w:rPr>
        <w:t xml:space="preserve">6. B2 — Create Tree / Target Tree Construction</w:t>
      </w:r>
    </w:p>
    <w:tbl>
      <w:tblPr>
        <w:tblStyle w:val="Table7"/>
        <w:tblW w:w="10282.0" w:type="dxa"/>
        <w:jc w:val="center"/>
        <w:tblLayout w:type="fixed"/>
        <w:tblLook w:val="0400"/>
      </w:tblPr>
      <w:tblGrid>
        <w:gridCol w:w="10282"/>
        <w:tblGridChange w:id="0">
          <w:tblGrid>
            <w:gridCol w:w="10282"/>
          </w:tblGrid>
        </w:tblGridChange>
      </w:tblGrid>
      <w:tr>
        <w:trPr>
          <w:cantSplit w:val="0"/>
          <w:tblHeader w:val="0"/>
        </w:trPr>
        <w:tc>
          <w:tcPr>
            <w:shd w:fill="eaf3f8" w:val="clear"/>
            <w:tcMar>
              <w:top w:w="110.0" w:type="dxa"/>
              <w:bottom w:w="110.0" w:type="dxa"/>
            </w:tcMar>
          </w:tcPr>
          <w:p w:rsidR="00000000" w:rsidDel="00000000" w:rsidP="00000000" w:rsidRDefault="00000000" w:rsidRPr="00000000" w14:paraId="00000082">
            <w:pPr>
              <w:rPr/>
            </w:pPr>
            <w:r w:rsidDel="00000000" w:rsidR="00000000" w:rsidRPr="00000000">
              <w:rPr>
                <w:b w:val="1"/>
                <w:bCs w:val="1"/>
                <w:color w:val="23313d"/>
                <w:sz w:val="20"/>
                <w:szCs w:val="20"/>
                <w:rtl w:val="0"/>
              </w:rPr>
              <w:t xml:space="preserve">B2 forces the completed B1 decomposition into a mandatory, deterministic target hierarchy.</w:t>
            </w:r>
            <w:r w:rsidDel="00000000" w:rsidR="00000000" w:rsidRPr="00000000">
              <w:rPr>
                <w:rtl w:val="0"/>
              </w:rPr>
            </w:r>
          </w:p>
        </w:tc>
      </w:tr>
    </w:tbl>
    <w:p w:rsidR="00000000" w:rsidDel="00000000" w:rsidP="00000000" w:rsidRDefault="00000000" w:rsidRPr="00000000" w14:paraId="00000083">
      <w:pPr>
        <w:pStyle w:val="Heading2"/>
        <w:rPr/>
      </w:pPr>
      <w:r w:rsidDel="00000000" w:rsidR="00000000" w:rsidRPr="00000000">
        <w:rPr>
          <w:rtl w:val="0"/>
        </w:rPr>
        <w:t xml:space="preserve">General shape</w:t>
      </w:r>
    </w:p>
    <w:p w:rsidR="00000000" w:rsidDel="00000000" w:rsidP="00000000" w:rsidRDefault="00000000" w:rsidRPr="00000000" w14:paraId="00000084">
      <w:pPr>
        <w:rPr/>
      </w:pPr>
      <w:r w:rsidDel="00000000" w:rsidR="00000000" w:rsidRPr="00000000">
        <w:rPr>
          <w:rFonts w:ascii="Consolas" w:cs="Consolas" w:eastAsia="Consolas" w:hAnsi="Consolas"/>
          <w:sz w:val="18"/>
          <w:szCs w:val="18"/>
          <w:rtl w:val="0"/>
        </w:rPr>
        <w:t xml:space="preserve">TARGET OBJECT</w:t>
        <w:br w:type="textWrapping"/>
        <w:t xml:space="preserve">├── TARGET IDENTIFICATION</w:t>
        <w:br w:type="textWrapping"/>
        <w:t xml:space="preserve">├── APPLICATION ROUTING</w:t>
        <w:br w:type="textWrapping"/>
        <w:t xml:space="preserve">├── TARGET ROLE</w:t>
        <w:br w:type="textWrapping"/>
        <w:t xml:space="preserve">└── OPERATIONAL REQUIREMENT TREE</w:t>
        <w:br w:type="textWrapping"/>
        <w:t xml:space="preserve">    ├── target-derived domain</w:t>
        <w:br w:type="textWrapping"/>
        <w:t xml:space="preserve">    └── ...</w:t>
      </w: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B2 responsibilities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group and classify B1 material without changing source meaning</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establish hierarchy and relationships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preserve qualifiers, numbers, markers, and provenance</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target-derived branches rather than forcing a fixed taxonomy</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make every meaningful target node addressable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preserve origin, destination, and malform state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map original posting spans to exact target-tree address(es)</w:t>
      </w:r>
    </w:p>
    <w:p w:rsidR="00000000" w:rsidDel="00000000" w:rsidP="00000000" w:rsidRDefault="00000000" w:rsidRPr="00000000" w14:paraId="0000008D">
      <w:pPr>
        <w:pStyle w:val="Heading2"/>
        <w:rPr/>
      </w:pPr>
      <w:r w:rsidDel="00000000" w:rsidR="00000000" w:rsidRPr="00000000">
        <w:rPr>
          <w:rtl w:val="0"/>
        </w:rPr>
        <w:t xml:space="preserve">Semantic markers</w:t>
      </w:r>
    </w:p>
    <w:tbl>
      <w:tblPr>
        <w:tblStyle w:val="Table8"/>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0"/>
        </w:trPr>
        <w:tc>
          <w:tcPr>
            <w:shd w:fill="d9eaf2" w:val="clear"/>
          </w:tcPr>
          <w:p w:rsidR="00000000" w:rsidDel="00000000" w:rsidP="00000000" w:rsidRDefault="00000000" w:rsidRPr="00000000" w14:paraId="0000008E">
            <w:pPr>
              <w:rPr/>
            </w:pPr>
            <w:r w:rsidDel="00000000" w:rsidR="00000000" w:rsidRPr="00000000">
              <w:rPr>
                <w:b w:val="1"/>
                <w:bCs w:val="1"/>
                <w:rtl w:val="0"/>
              </w:rPr>
              <w:t xml:space="preserve">Marker</w:t>
            </w:r>
            <w:r w:rsidDel="00000000" w:rsidR="00000000" w:rsidRPr="00000000">
              <w:rPr>
                <w:rtl w:val="0"/>
              </w:rPr>
            </w:r>
          </w:p>
        </w:tc>
        <w:tc>
          <w:tcPr>
            <w:shd w:fill="d9eaf2" w:val="clear"/>
          </w:tcPr>
          <w:p w:rsidR="00000000" w:rsidDel="00000000" w:rsidP="00000000" w:rsidRDefault="00000000" w:rsidRPr="00000000" w14:paraId="0000008F">
            <w:pPr>
              <w:rPr/>
            </w:pPr>
            <w:r w:rsidDel="00000000" w:rsidR="00000000" w:rsidRPr="00000000">
              <w:rPr>
                <w:b w:val="1"/>
                <w:bCs w:val="1"/>
                <w:rtl w:val="0"/>
              </w:rPr>
              <w:t xml:space="preserve">Meaning</w:t>
            </w:r>
            <w:r w:rsidDel="00000000" w:rsidR="00000000" w:rsidRPr="00000000">
              <w:rPr>
                <w:rtl w:val="0"/>
              </w:rPr>
            </w:r>
          </w:p>
        </w:tc>
        <w:tc>
          <w:tcPr>
            <w:shd w:fill="d9eaf2" w:val="clear"/>
          </w:tcPr>
          <w:p w:rsidR="00000000" w:rsidDel="00000000" w:rsidP="00000000" w:rsidRDefault="00000000" w:rsidRPr="00000000" w14:paraId="00000090">
            <w:pPr>
              <w:rPr/>
            </w:pPr>
            <w:r w:rsidDel="00000000" w:rsidR="00000000" w:rsidRPr="00000000">
              <w:rPr>
                <w:b w:val="1"/>
                <w:bCs w:val="1"/>
                <w:rtl w:val="0"/>
              </w:rPr>
              <w:t xml:space="preserve">Control</w:t>
            </w: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w:t>
            </w:r>
          </w:p>
        </w:tc>
        <w:tc>
          <w:tcPr/>
          <w:p w:rsidR="00000000" w:rsidDel="00000000" w:rsidP="00000000" w:rsidRDefault="00000000" w:rsidRPr="00000000" w14:paraId="00000092">
            <w:pPr>
              <w:rPr/>
            </w:pPr>
            <w:r w:rsidDel="00000000" w:rsidR="00000000" w:rsidRPr="00000000">
              <w:rPr>
                <w:rtl w:val="0"/>
              </w:rPr>
              <w:t xml:space="preserve">Hard candidate gate / mandatory admission condition</w:t>
            </w:r>
          </w:p>
        </w:tc>
        <w:tc>
          <w:tcPr/>
          <w:p w:rsidR="00000000" w:rsidDel="00000000" w:rsidP="00000000" w:rsidRDefault="00000000" w:rsidRPr="00000000" w14:paraId="00000093">
            <w:pPr>
              <w:rPr/>
            </w:pPr>
            <w:r w:rsidDel="00000000" w:rsidR="00000000" w:rsidRPr="00000000">
              <w:rPr>
                <w:rtl w:val="0"/>
              </w:rPr>
              <w:t xml:space="preserve">Only when source makes it genuinely hard.</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w:t>
            </w:r>
          </w:p>
        </w:tc>
        <w:tc>
          <w:tcPr/>
          <w:p w:rsidR="00000000" w:rsidDel="00000000" w:rsidP="00000000" w:rsidRDefault="00000000" w:rsidRPr="00000000" w14:paraId="00000095">
            <w:pPr>
              <w:rPr/>
            </w:pPr>
            <w:r w:rsidDel="00000000" w:rsidR="00000000" w:rsidRPr="00000000">
              <w:rPr>
                <w:rtl w:val="0"/>
              </w:rPr>
              <w:t xml:space="preserve">Soft, contextual, interpretive, preferred, desirable, or non-hard threshold</w:t>
            </w:r>
          </w:p>
        </w:tc>
        <w:tc>
          <w:tcPr/>
          <w:p w:rsidR="00000000" w:rsidDel="00000000" w:rsidP="00000000" w:rsidRDefault="00000000" w:rsidRPr="00000000" w14:paraId="00000096">
            <w:pPr>
              <w:rPr/>
            </w:pPr>
            <w:r w:rsidDel="00000000" w:rsidR="00000000" w:rsidRPr="00000000">
              <w:rPr>
                <w:rtl w:val="0"/>
              </w:rPr>
              <w:t xml:space="preserve">A number does not automatically make a node hard.</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unmarked</w:t>
            </w:r>
          </w:p>
        </w:tc>
        <w:tc>
          <w:tcPr/>
          <w:p w:rsidR="00000000" w:rsidDel="00000000" w:rsidP="00000000" w:rsidRDefault="00000000" w:rsidRPr="00000000" w14:paraId="00000098">
            <w:pPr>
              <w:rPr/>
            </w:pPr>
            <w:r w:rsidDel="00000000" w:rsidR="00000000" w:rsidRPr="00000000">
              <w:rPr>
                <w:rtl w:val="0"/>
              </w:rPr>
              <w:t xml:space="preserve">Required role responsibility / duty</w:t>
            </w:r>
          </w:p>
        </w:tc>
        <w:tc>
          <w:tcPr/>
          <w:p w:rsidR="00000000" w:rsidDel="00000000" w:rsidP="00000000" w:rsidRDefault="00000000" w:rsidRPr="00000000" w14:paraId="00000099">
            <w:pPr>
              <w:rPr/>
            </w:pPr>
            <w:r w:rsidDel="00000000" w:rsidR="00000000" w:rsidRPr="00000000">
              <w:rPr>
                <w:rtl w:val="0"/>
              </w:rPr>
              <w:t xml:space="preserve">Do not infer hard-gate status from imperative wording alone.</w:t>
            </w:r>
          </w:p>
        </w:tc>
      </w:tr>
    </w:tbl>
    <w:p w:rsidR="00000000" w:rsidDel="00000000" w:rsidP="00000000" w:rsidRDefault="00000000" w:rsidRPr="00000000" w14:paraId="0000009A">
      <w:pPr>
        <w:pStyle w:val="Heading2"/>
        <w:rPr/>
      </w:pPr>
      <w:r w:rsidDel="00000000" w:rsidR="00000000" w:rsidRPr="00000000">
        <w:rPr>
          <w:rtl w:val="0"/>
        </w:rPr>
        <w:t xml:space="preserve">Structural addressing</w:t>
      </w:r>
    </w:p>
    <w:p w:rsidR="00000000" w:rsidDel="00000000" w:rsidP="00000000" w:rsidRDefault="00000000" w:rsidRPr="00000000" w14:paraId="0000009B">
      <w:pPr>
        <w:rPr/>
      </w:pPr>
      <w:r w:rsidDel="00000000" w:rsidR="00000000" w:rsidRPr="00000000">
        <w:rPr>
          <w:rtl w:val="0"/>
        </w:rPr>
        <w:t xml:space="preserve">Addresses use deterministic lowercase letters and numbers only: a, a.1, a.2, a.2.a, etc.</w:t>
      </w:r>
    </w:p>
    <w:p w:rsidR="00000000" w:rsidDel="00000000" w:rsidP="00000000" w:rsidRDefault="00000000" w:rsidRPr="00000000" w14:paraId="0000009C">
      <w:pPr>
        <w:rPr/>
      </w:pPr>
      <w:r w:rsidDel="00000000" w:rsidR="00000000" w:rsidRPr="00000000">
        <w:rPr>
          <w:rtl w:val="0"/>
        </w:rPr>
        <w:t xml:space="preserve">Traceability contract: ORIGINAL POSTING SPAN ↔ B1 DECOMPOSITION ↔ B2 TARGET TREE ADDRESS. Many-to-many mappings are allowed.</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5a646e"/>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5a646e"/>
          <w:sz w:val="18"/>
          <w:szCs w:val="18"/>
          <w:u w:val="none"/>
          <w:shd w:fill="auto" w:val="clear"/>
          <w:vertAlign w:val="baseline"/>
          <w:rtl w:val="0"/>
        </w:rPr>
        <w:t xml:space="preserve">Downstream, a target address identifies where candidate evidence resolves; it does not identify where that candidate evidence originally came from.</w:t>
      </w:r>
    </w:p>
    <w:p w:rsidR="00000000" w:rsidDel="00000000" w:rsidP="00000000" w:rsidRDefault="00000000" w:rsidRPr="00000000" w14:paraId="0000009E">
      <w:pPr>
        <w:pStyle w:val="Heading2"/>
        <w:rPr/>
      </w:pPr>
      <w:r w:rsidDel="00000000" w:rsidR="00000000" w:rsidRPr="00000000">
        <w:rPr>
          <w:rtl w:val="0"/>
        </w:rPr>
        <w:t xml:space="preserve">B2 may not</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manufacture requirements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inspect candidate evidence</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select an archetype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activate candidate planes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determine fit/relevance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bind evidence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change hard/soft meaning</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drop qualifiers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force a fixed domain taxonomy</w:t>
      </w:r>
    </w:p>
    <w:p w:rsidR="00000000" w:rsidDel="00000000" w:rsidP="00000000" w:rsidRDefault="00000000" w:rsidRPr="00000000" w14:paraId="000000A8">
      <w:pPr>
        <w:pStyle w:val="Heading1"/>
        <w:rPr/>
      </w:pPr>
      <w:r w:rsidDel="00000000" w:rsidR="00000000" w:rsidRPr="00000000">
        <w:rPr>
          <w:rtl w:val="0"/>
        </w:rPr>
        <w:t xml:space="preserve">7. B3 — Bind / Candidate Evidence Binding</w:t>
      </w:r>
    </w:p>
    <w:tbl>
      <w:tblPr>
        <w:tblStyle w:val="Table9"/>
        <w:tblW w:w="10282.0" w:type="dxa"/>
        <w:jc w:val="center"/>
        <w:tblLayout w:type="fixed"/>
        <w:tblLook w:val="0400"/>
      </w:tblPr>
      <w:tblGrid>
        <w:gridCol w:w="10282"/>
        <w:tblGridChange w:id="0">
          <w:tblGrid>
            <w:gridCol w:w="10282"/>
          </w:tblGrid>
        </w:tblGridChange>
      </w:tblGrid>
      <w:tr>
        <w:trPr>
          <w:cantSplit w:val="0"/>
          <w:tblHeader w:val="0"/>
        </w:trPr>
        <w:tc>
          <w:tcPr>
            <w:shd w:fill="e8f4ea" w:val="clear"/>
            <w:tcMar>
              <w:top w:w="110.0" w:type="dxa"/>
              <w:bottom w:w="110.0" w:type="dxa"/>
            </w:tcMar>
          </w:tcPr>
          <w:p w:rsidR="00000000" w:rsidDel="00000000" w:rsidP="00000000" w:rsidRDefault="00000000" w:rsidRPr="00000000" w14:paraId="000000A9">
            <w:pPr>
              <w:rPr/>
            </w:pPr>
            <w:r w:rsidDel="00000000" w:rsidR="00000000" w:rsidRPr="00000000">
              <w:rPr>
                <w:b w:val="1"/>
                <w:bCs w:val="1"/>
                <w:color w:val="23313d"/>
                <w:sz w:val="20"/>
                <w:szCs w:val="20"/>
                <w:rtl w:val="0"/>
              </w:rPr>
              <w:t xml:space="preserve">B3 is the discovery/binding lane. It gets plausible luggage to inspection; it does not decide whether the luggage actually complies.</w:t>
            </w:r>
            <w:r w:rsidDel="00000000" w:rsidR="00000000" w:rsidRPr="00000000">
              <w:rPr>
                <w:rtl w:val="0"/>
              </w:rPr>
            </w:r>
          </w:p>
        </w:tc>
      </w:tr>
    </w:tbl>
    <w:p w:rsidR="00000000" w:rsidDel="00000000" w:rsidP="00000000" w:rsidRDefault="00000000" w:rsidRPr="00000000" w14:paraId="000000AA">
      <w:pPr>
        <w:pStyle w:val="Heading2"/>
        <w:rPr/>
      </w:pPr>
      <w:r w:rsidDel="00000000" w:rsidR="00000000" w:rsidRPr="00000000">
        <w:rPr>
          <w:rtl w:val="0"/>
        </w:rPr>
        <w:t xml:space="preserve">Purpose</w:t>
      </w:r>
    </w:p>
    <w:p w:rsidR="00000000" w:rsidDel="00000000" w:rsidP="00000000" w:rsidRDefault="00000000" w:rsidRPr="00000000" w14:paraId="000000AB">
      <w:pPr>
        <w:rPr/>
      </w:pPr>
      <w:r w:rsidDel="00000000" w:rsidR="00000000" w:rsidRPr="00000000">
        <w:rPr>
          <w:rtl w:val="0"/>
        </w:rPr>
        <w:t xml:space="preserve">B3 starts from B2 target addresses and formulates target-node-driven queries into the eligible candidate evidence substrate. Its job is to surface and bind potentially relevant evidence broadly enough that B4 can perform the strict truth audit.</w:t>
      </w:r>
    </w:p>
    <w:p w:rsidR="00000000" w:rsidDel="00000000" w:rsidP="00000000" w:rsidRDefault="00000000" w:rsidRPr="00000000" w14:paraId="000000AC">
      <w:pPr>
        <w:pStyle w:val="Heading2"/>
        <w:rPr/>
      </w:pPr>
      <w:r w:rsidDel="00000000" w:rsidR="00000000" w:rsidRPr="00000000">
        <w:rPr>
          <w:rtl w:val="0"/>
        </w:rPr>
        <w:t xml:space="preserve">Permitted B3 reasoning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direct hits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proximity</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plausibility</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transferable similarity</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role/title/environment context as a discovery aid</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multiple candidate evidence items bound to one target node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one candidate evidence item bound to multiple target nodes where justified</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bringing forward evidence that may later require scope restriction</w:t>
      </w:r>
    </w:p>
    <w:p w:rsidR="00000000" w:rsidDel="00000000" w:rsidP="00000000" w:rsidRDefault="00000000" w:rsidRPr="00000000" w14:paraId="000000B5">
      <w:pPr>
        <w:pStyle w:val="Heading2"/>
        <w:rPr/>
      </w:pPr>
      <w:r w:rsidDel="00000000" w:rsidR="00000000" w:rsidRPr="00000000">
        <w:rPr>
          <w:rtl w:val="0"/>
        </w:rPr>
        <w:t xml:space="preserve">B3 is intentionally permissive</w:t>
      </w:r>
    </w:p>
    <w:p w:rsidR="00000000" w:rsidDel="00000000" w:rsidP="00000000" w:rsidRDefault="00000000" w:rsidRPr="00000000" w14:paraId="000000B6">
      <w:pPr>
        <w:rPr/>
      </w:pPr>
      <w:r w:rsidDel="00000000" w:rsidR="00000000" w:rsidRPr="00000000">
        <w:rPr>
          <w:rtl w:val="0"/>
        </w:rPr>
        <w:t xml:space="preserve">Over-constraining B3 would prevent B4 from seeing potentially useful evidence. A plausible association may be surfaced even when it is not yet proven at the exact proposition level.</w:t>
      </w:r>
    </w:p>
    <w:p w:rsidR="00000000" w:rsidDel="00000000" w:rsidP="00000000" w:rsidRDefault="00000000" w:rsidRPr="00000000" w14:paraId="000000B7">
      <w:pPr>
        <w:pStyle w:val="Heading2"/>
        <w:rPr/>
      </w:pPr>
      <w:r w:rsidDel="00000000" w:rsidR="00000000" w:rsidRPr="00000000">
        <w:rPr>
          <w:rtl w:val="0"/>
        </w:rPr>
        <w:t xml:space="preserve">B3 may not</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declare a specific proposition true merely because the candidate held a title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treat occupational convention as proof</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necessity arguments as proof ('they must have done X because they were a GM')</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assume unverified credentials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quietly upgrade proximity into direct evidence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make the final PASS / qualified / unresolved / contradicted determination</w:t>
      </w:r>
    </w:p>
    <w:p w:rsidR="00000000" w:rsidDel="00000000" w:rsidP="00000000" w:rsidRDefault="00000000" w:rsidRPr="00000000" w14:paraId="000000BE">
      <w:pPr>
        <w:pStyle w:val="Heading2"/>
        <w:rPr/>
      </w:pPr>
      <w:r w:rsidDel="00000000" w:rsidR="00000000" w:rsidRPr="00000000">
        <w:rPr>
          <w:rtl w:val="0"/>
        </w:rPr>
        <w:t xml:space="preserve">Canonical example — Hook &amp; Reel P&amp;L</w:t>
      </w:r>
    </w:p>
    <w:p w:rsidR="00000000" w:rsidDel="00000000" w:rsidP="00000000" w:rsidRDefault="00000000" w:rsidRPr="00000000" w14:paraId="000000BF">
      <w:pPr>
        <w:rPr/>
      </w:pPr>
      <w:r w:rsidDel="00000000" w:rsidR="00000000" w:rsidRPr="00000000">
        <w:rPr>
          <w:rtl w:val="0"/>
        </w:rPr>
        <w:t xml:space="preserve">A target may require P&amp;L accountability. The candidate may have been a General Manager at Hook &amp; Reel. B3 is allowed to surface that GM experience as proximate evidence because P&amp;L is commonly associated with GM work. But candidate truth states that ownership handled P&amp;L. Therefore B4 must reject a proposition of P&amp;L accountability based on that role. The GM experience remains true and relevant; only the specific P&amp;L assertion fails.</w:t>
      </w:r>
    </w:p>
    <w:p w:rsidR="00000000" w:rsidDel="00000000" w:rsidP="00000000" w:rsidRDefault="00000000" w:rsidRPr="00000000" w14:paraId="000000C0">
      <w:pPr>
        <w:pStyle w:val="Heading1"/>
        <w:rPr/>
      </w:pPr>
      <w:r w:rsidDel="00000000" w:rsidR="00000000" w:rsidRPr="00000000">
        <w:rPr>
          <w:rtl w:val="0"/>
        </w:rPr>
        <w:t xml:space="preserve">8. B4 — The Gate / Proposition Reality Check</w:t>
      </w:r>
    </w:p>
    <w:tbl>
      <w:tblPr>
        <w:tblStyle w:val="Table10"/>
        <w:tblW w:w="10282.0" w:type="dxa"/>
        <w:jc w:val="center"/>
        <w:tblLayout w:type="fixed"/>
        <w:tblLook w:val="0400"/>
      </w:tblPr>
      <w:tblGrid>
        <w:gridCol w:w="10282"/>
        <w:tblGridChange w:id="0">
          <w:tblGrid>
            <w:gridCol w:w="10282"/>
          </w:tblGrid>
        </w:tblGridChange>
      </w:tblGrid>
      <w:tr>
        <w:trPr>
          <w:cantSplit w:val="0"/>
          <w:tblHeader w:val="0"/>
        </w:trPr>
        <w:tc>
          <w:tcPr>
            <w:shd w:fill="f8e6e9" w:val="clear"/>
            <w:tcMar>
              <w:top w:w="110.0" w:type="dxa"/>
              <w:bottom w:w="110.0" w:type="dxa"/>
            </w:tcMar>
          </w:tcPr>
          <w:p w:rsidR="00000000" w:rsidDel="00000000" w:rsidP="00000000" w:rsidRDefault="00000000" w:rsidRPr="00000000" w14:paraId="000000C1">
            <w:pPr>
              <w:rPr/>
            </w:pPr>
            <w:r w:rsidDel="00000000" w:rsidR="00000000" w:rsidRPr="00000000">
              <w:rPr>
                <w:b w:val="1"/>
                <w:bCs w:val="1"/>
                <w:color w:val="23313d"/>
                <w:sz w:val="20"/>
                <w:szCs w:val="20"/>
                <w:rtl w:val="0"/>
              </w:rPr>
              <w:t xml:space="preserve">B4 asks: Is the exact proposition actually true at the scope being claimed, and can it survive ordinary interpretation without retreat?</w:t>
            </w:r>
            <w:r w:rsidDel="00000000" w:rsidR="00000000" w:rsidRPr="00000000">
              <w:rPr>
                <w:rtl w:val="0"/>
              </w:rPr>
            </w:r>
          </w:p>
        </w:tc>
      </w:tr>
    </w:tbl>
    <w:p w:rsidR="00000000" w:rsidDel="00000000" w:rsidP="00000000" w:rsidRDefault="00000000" w:rsidRPr="00000000" w14:paraId="000000C2">
      <w:pPr>
        <w:pStyle w:val="Heading2"/>
        <w:rPr/>
      </w:pPr>
      <w:r w:rsidDel="00000000" w:rsidR="00000000" w:rsidRPr="00000000">
        <w:rPr>
          <w:rtl w:val="0"/>
        </w:rPr>
        <w:t xml:space="preserve">Purpose</w:t>
      </w:r>
    </w:p>
    <w:p w:rsidR="00000000" w:rsidDel="00000000" w:rsidP="00000000" w:rsidRDefault="00000000" w:rsidRPr="00000000" w14:paraId="000000C3">
      <w:pPr>
        <w:rPr/>
      </w:pPr>
      <w:r w:rsidDel="00000000" w:rsidR="00000000" w:rsidRPr="00000000">
        <w:rPr>
          <w:rtl w:val="0"/>
        </w:rPr>
        <w:t xml:space="preserve">B4 audits every B3 binding address-by-address. It is the strict reality gate between permissive discovery and downstream semantic reasoning.</w:t>
      </w:r>
    </w:p>
    <w:p w:rsidR="00000000" w:rsidDel="00000000" w:rsidP="00000000" w:rsidRDefault="00000000" w:rsidRPr="00000000" w14:paraId="000000C4">
      <w:pPr>
        <w:pStyle w:val="Heading2"/>
        <w:rPr/>
      </w:pPr>
      <w:r w:rsidDel="00000000" w:rsidR="00000000" w:rsidRPr="00000000">
        <w:rPr>
          <w:rtl w:val="0"/>
        </w:rPr>
        <w:t xml:space="preserve">Core truth tests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Is the statement defensible without retreat?</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Is the statement not untrue?</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Would an ordinary reader understand the claim at the same scope the evidence actually supports?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Is the proposition established by evidence rather than title inference, occupational expectation, or necessity argument?</w:t>
      </w:r>
    </w:p>
    <w:p w:rsidR="00000000" w:rsidDel="00000000" w:rsidP="00000000" w:rsidRDefault="00000000" w:rsidRPr="00000000" w14:paraId="000000C9">
      <w:pPr>
        <w:pStyle w:val="Heading2"/>
        <w:rPr/>
      </w:pPr>
      <w:r w:rsidDel="00000000" w:rsidR="00000000" w:rsidRPr="00000000">
        <w:rPr>
          <w:rtl w:val="0"/>
        </w:rPr>
        <w:t xml:space="preserve">B4 controls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specific proposition truth</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scope correction</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evidence ceiling clamping</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zero title inference as proof</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zero occupational-convention inference as proof</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zero necessity-argument proof</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zero unverified credential assumption</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exact disposition for every target address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exact reason for every non-PASS outcome</w:t>
      </w:r>
    </w:p>
    <w:p w:rsidR="00000000" w:rsidDel="00000000" w:rsidP="00000000" w:rsidRDefault="00000000" w:rsidRPr="00000000" w14:paraId="000000D3">
      <w:pPr>
        <w:pStyle w:val="Heading2"/>
        <w:rPr/>
      </w:pPr>
      <w:r w:rsidDel="00000000" w:rsidR="00000000" w:rsidRPr="00000000">
        <w:rPr>
          <w:rtl w:val="0"/>
        </w:rPr>
        <w:t xml:space="preserve">Disposition model</w:t>
      </w:r>
    </w:p>
    <w:tbl>
      <w:tblPr>
        <w:tblStyle w:val="Table11"/>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0"/>
        </w:trPr>
        <w:tc>
          <w:tcPr>
            <w:shd w:fill="d9eaf2" w:val="clear"/>
          </w:tcPr>
          <w:p w:rsidR="00000000" w:rsidDel="00000000" w:rsidP="00000000" w:rsidRDefault="00000000" w:rsidRPr="00000000" w14:paraId="000000D4">
            <w:pPr>
              <w:rPr/>
            </w:pPr>
            <w:r w:rsidDel="00000000" w:rsidR="00000000" w:rsidRPr="00000000">
              <w:rPr>
                <w:b w:val="1"/>
                <w:bCs w:val="1"/>
                <w:rtl w:val="0"/>
              </w:rPr>
              <w:t xml:space="preserve">Disposition</w:t>
            </w:r>
            <w:r w:rsidDel="00000000" w:rsidR="00000000" w:rsidRPr="00000000">
              <w:rPr>
                <w:rtl w:val="0"/>
              </w:rPr>
            </w:r>
          </w:p>
        </w:tc>
        <w:tc>
          <w:tcPr>
            <w:shd w:fill="d9eaf2" w:val="clear"/>
          </w:tcPr>
          <w:p w:rsidR="00000000" w:rsidDel="00000000" w:rsidP="00000000" w:rsidRDefault="00000000" w:rsidRPr="00000000" w14:paraId="000000D5">
            <w:pPr>
              <w:rPr/>
            </w:pPr>
            <w:r w:rsidDel="00000000" w:rsidR="00000000" w:rsidRPr="00000000">
              <w:rPr>
                <w:b w:val="1"/>
                <w:bCs w:val="1"/>
                <w:rtl w:val="0"/>
              </w:rPr>
              <w:t xml:space="preserve">Meaning</w:t>
            </w:r>
            <w:r w:rsidDel="00000000" w:rsidR="00000000" w:rsidRPr="00000000">
              <w:rPr>
                <w:rtl w:val="0"/>
              </w:rPr>
            </w:r>
          </w:p>
        </w:tc>
        <w:tc>
          <w:tcPr>
            <w:shd w:fill="d9eaf2" w:val="clear"/>
          </w:tcPr>
          <w:p w:rsidR="00000000" w:rsidDel="00000000" w:rsidP="00000000" w:rsidRDefault="00000000" w:rsidRPr="00000000" w14:paraId="000000D6">
            <w:pPr>
              <w:rPr/>
            </w:pPr>
            <w:r w:rsidDel="00000000" w:rsidR="00000000" w:rsidRPr="00000000">
              <w:rPr>
                <w:b w:val="1"/>
                <w:bCs w:val="1"/>
                <w:rtl w:val="0"/>
              </w:rPr>
              <w:t xml:space="preserve">Effect</w:t>
            </w:r>
            <w:r w:rsidDel="00000000" w:rsidR="00000000" w:rsidRPr="00000000">
              <w:rPr>
                <w:rtl w:val="0"/>
              </w:rPr>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PASS</w:t>
            </w:r>
          </w:p>
        </w:tc>
        <w:tc>
          <w:tcPr/>
          <w:p w:rsidR="00000000" w:rsidDel="00000000" w:rsidP="00000000" w:rsidRDefault="00000000" w:rsidRPr="00000000" w14:paraId="000000D8">
            <w:pPr>
              <w:rPr/>
            </w:pPr>
            <w:r w:rsidDel="00000000" w:rsidR="00000000" w:rsidRPr="00000000">
              <w:rPr>
                <w:rtl w:val="0"/>
              </w:rPr>
              <w:t xml:space="preserve">Exact proposition is supported at claimed scope.</w:t>
            </w:r>
          </w:p>
        </w:tc>
        <w:tc>
          <w:tcPr/>
          <w:p w:rsidR="00000000" w:rsidDel="00000000" w:rsidP="00000000" w:rsidRDefault="00000000" w:rsidRPr="00000000" w14:paraId="000000D9">
            <w:pPr>
              <w:rPr/>
            </w:pPr>
            <w:r w:rsidDel="00000000" w:rsidR="00000000" w:rsidRPr="00000000">
              <w:rPr>
                <w:rtl w:val="0"/>
              </w:rPr>
              <w:t xml:space="preserve">Binding is admitted without qualification.</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QUALIFIED / BOUNDED</w:t>
            </w:r>
          </w:p>
        </w:tc>
        <w:tc>
          <w:tcPr/>
          <w:p w:rsidR="00000000" w:rsidDel="00000000" w:rsidP="00000000" w:rsidRDefault="00000000" w:rsidRPr="00000000" w14:paraId="000000DB">
            <w:pPr>
              <w:rPr/>
            </w:pPr>
            <w:r w:rsidDel="00000000" w:rsidR="00000000" w:rsidRPr="00000000">
              <w:rPr>
                <w:rtl w:val="0"/>
              </w:rPr>
              <w:t xml:space="preserve">Useful evidence exists, but only at narrower scope.</w:t>
            </w:r>
          </w:p>
        </w:tc>
        <w:tc>
          <w:tcPr/>
          <w:p w:rsidR="00000000" w:rsidDel="00000000" w:rsidP="00000000" w:rsidRDefault="00000000" w:rsidRPr="00000000" w14:paraId="000000DC">
            <w:pPr>
              <w:rPr/>
            </w:pPr>
            <w:r w:rsidDel="00000000" w:rsidR="00000000" w:rsidRPr="00000000">
              <w:rPr>
                <w:rtl w:val="0"/>
              </w:rPr>
              <w:t xml:space="preserve">Admit only the verified narrower proposition and set the ceiling.</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UNRESOLVED</w:t>
            </w:r>
          </w:p>
        </w:tc>
        <w:tc>
          <w:tcPr/>
          <w:p w:rsidR="00000000" w:rsidDel="00000000" w:rsidP="00000000" w:rsidRDefault="00000000" w:rsidRPr="00000000" w14:paraId="000000DE">
            <w:pPr>
              <w:rPr/>
            </w:pPr>
            <w:r w:rsidDel="00000000" w:rsidR="00000000" w:rsidRPr="00000000">
              <w:rPr>
                <w:rtl w:val="0"/>
              </w:rPr>
              <w:t xml:space="preserve">Evidence is relevant/proximate but does not establish the proposition.</w:t>
            </w:r>
          </w:p>
        </w:tc>
        <w:tc>
          <w:tcPr/>
          <w:p w:rsidR="00000000" w:rsidDel="00000000" w:rsidP="00000000" w:rsidRDefault="00000000" w:rsidRPr="00000000" w14:paraId="000000DF">
            <w:pPr>
              <w:rPr/>
            </w:pPr>
            <w:r w:rsidDel="00000000" w:rsidR="00000000" w:rsidRPr="00000000">
              <w:rPr>
                <w:rtl w:val="0"/>
              </w:rPr>
              <w:t xml:space="preserve">Preserve the documentary gap; do not invent closure.</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CONTRADICTED</w:t>
            </w:r>
          </w:p>
        </w:tc>
        <w:tc>
          <w:tcPr/>
          <w:p w:rsidR="00000000" w:rsidDel="00000000" w:rsidP="00000000" w:rsidRDefault="00000000" w:rsidRPr="00000000" w14:paraId="000000E1">
            <w:pPr>
              <w:rPr/>
            </w:pPr>
            <w:r w:rsidDel="00000000" w:rsidR="00000000" w:rsidRPr="00000000">
              <w:rPr>
                <w:rtl w:val="0"/>
              </w:rPr>
              <w:t xml:space="preserve">Candidate evidence affirmatively conflicts with the proposition.</w:t>
            </w:r>
          </w:p>
        </w:tc>
        <w:tc>
          <w:tcPr/>
          <w:p w:rsidR="00000000" w:rsidDel="00000000" w:rsidP="00000000" w:rsidRDefault="00000000" w:rsidRPr="00000000" w14:paraId="000000E2">
            <w:pPr>
              <w:rPr/>
            </w:pPr>
            <w:r w:rsidDel="00000000" w:rsidR="00000000" w:rsidRPr="00000000">
              <w:rPr>
                <w:rtl w:val="0"/>
              </w:rPr>
              <w:t xml:space="preserve">Preserve contradiction; proposition cannot be admitted.</w:t>
            </w:r>
          </w:p>
        </w:tc>
      </w:tr>
    </w:tbl>
    <w:p w:rsidR="00000000" w:rsidDel="00000000" w:rsidP="00000000" w:rsidRDefault="00000000" w:rsidRPr="00000000" w14:paraId="000000E3">
      <w:pPr>
        <w:pStyle w:val="Heading2"/>
        <w:rPr/>
      </w:pPr>
      <w:r w:rsidDel="00000000" w:rsidR="00000000" w:rsidRPr="00000000">
        <w:rPr>
          <w:rtl w:val="0"/>
        </w:rPr>
        <w:t xml:space="preserve">Hard-gate behavior</w:t>
      </w:r>
    </w:p>
    <w:p w:rsidR="00000000" w:rsidDel="00000000" w:rsidP="00000000" w:rsidRDefault="00000000" w:rsidRPr="00000000" w14:paraId="000000E4">
      <w:pPr>
        <w:rPr/>
      </w:pPr>
      <w:r w:rsidDel="00000000" w:rsidR="00000000" w:rsidRPr="00000000">
        <w:rPr>
          <w:rtl w:val="0"/>
        </w:rPr>
        <w:t xml:space="preserve">If a target node is marked * and the exact proposition fails, B4 cannot 'qualify' the hard gate into passing. It must return to B3 for stronger/different evidence or remain unresolved/failed at that gate.</w:t>
      </w:r>
    </w:p>
    <w:p w:rsidR="00000000" w:rsidDel="00000000" w:rsidP="00000000" w:rsidRDefault="00000000" w:rsidRPr="00000000" w14:paraId="000000E5">
      <w:pPr>
        <w:pStyle w:val="Heading2"/>
        <w:rPr/>
      </w:pPr>
      <w:r w:rsidDel="00000000" w:rsidR="00000000" w:rsidRPr="00000000">
        <w:rPr>
          <w:rtl w:val="0"/>
        </w:rPr>
        <w:t xml:space="preserve">Non-hard behavior</w:t>
      </w:r>
    </w:p>
    <w:p w:rsidR="00000000" w:rsidDel="00000000" w:rsidP="00000000" w:rsidRDefault="00000000" w:rsidRPr="00000000" w14:paraId="000000E6">
      <w:pPr>
        <w:rPr/>
      </w:pPr>
      <w:r w:rsidDel="00000000" w:rsidR="00000000" w:rsidRPr="00000000">
        <w:rPr>
          <w:rtl w:val="0"/>
        </w:rPr>
        <w:t xml:space="preserve">For non-hard nodes, B4 may preserve useful evidence by narrowing the proposition to the strongest specifically true scope. This is not downgrading truth; it is correcting the claim to verified truth.</w:t>
      </w:r>
    </w:p>
    <w:p w:rsidR="00000000" w:rsidDel="00000000" w:rsidP="00000000" w:rsidRDefault="00000000" w:rsidRPr="00000000" w14:paraId="000000E7">
      <w:pPr>
        <w:pStyle w:val="Heading2"/>
        <w:rPr/>
      </w:pPr>
      <w:r w:rsidDel="00000000" w:rsidR="00000000" w:rsidRPr="00000000">
        <w:rPr>
          <w:rtl w:val="0"/>
        </w:rPr>
        <w:t xml:space="preserve">Required return form</w:t>
      </w:r>
    </w:p>
    <w:p w:rsidR="00000000" w:rsidDel="00000000" w:rsidP="00000000" w:rsidRDefault="00000000" w:rsidRPr="00000000" w14:paraId="000000E8">
      <w:pPr>
        <w:rPr/>
      </w:pPr>
      <w:r w:rsidDel="00000000" w:rsidR="00000000" w:rsidRPr="00000000">
        <w:rPr>
          <w:rFonts w:ascii="Consolas" w:cs="Consolas" w:eastAsia="Consolas" w:hAnsi="Consolas"/>
          <w:sz w:val="18"/>
          <w:szCs w:val="18"/>
          <w:rtl w:val="0"/>
        </w:rPr>
        <w:t xml:space="preserve">d.4.a.2 — RETURN CONDITIONAL — High-volume bar-management evidence supports proximity to liquor compliance, but it does not specifically establish the claimed regulatory responsibility or execution.</w:t>
      </w:r>
      <w:r w:rsidDel="00000000" w:rsidR="00000000" w:rsidRPr="00000000">
        <w:rPr>
          <w:rtl w:val="0"/>
        </w:rPr>
      </w:r>
    </w:p>
    <w:p w:rsidR="00000000" w:rsidDel="00000000" w:rsidP="00000000" w:rsidRDefault="00000000" w:rsidRPr="00000000" w14:paraId="000000E9">
      <w:pPr>
        <w:pStyle w:val="Heading1"/>
        <w:rPr/>
      </w:pPr>
      <w:r w:rsidDel="00000000" w:rsidR="00000000" w:rsidRPr="00000000">
        <w:rPr>
          <w:rtl w:val="0"/>
        </w:rPr>
        <w:t xml:space="preserve">9. Andrea’s Chop House calibration — preserved reconciliation</w:t>
      </w:r>
    </w:p>
    <w:p w:rsidR="00000000" w:rsidDel="00000000" w:rsidP="00000000" w:rsidRDefault="00000000" w:rsidRPr="00000000" w14:paraId="000000EA">
      <w:pPr>
        <w:rPr/>
      </w:pPr>
      <w:r w:rsidDel="00000000" w:rsidR="00000000" w:rsidRPr="00000000">
        <w:rPr>
          <w:rtl w:val="0"/>
        </w:rPr>
        <w:t xml:space="preserve">Target: Andrea’s Chop House — General Manager / Operating Partner. B1/B2 were completed candidate-blind. Application destination was missing, so the object carried MALFORMED — DESTINATION MISSING while diagnostic continuation remained authorized.</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5a646e"/>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5a646e"/>
          <w:sz w:val="18"/>
          <w:szCs w:val="18"/>
          <w:u w:val="none"/>
          <w:shd w:fill="auto" w:val="clear"/>
          <w:vertAlign w:val="baseline"/>
          <w:rtl w:val="0"/>
        </w:rPr>
        <w:t xml:space="preserve">The initial B3 report declared 23 obligations, but the addressed ledger actually contained 27 nodes. The discrepancy was surfaced and reconciled. Authoritative accounting is 27 nodes.</w:t>
      </w:r>
    </w:p>
    <w:tbl>
      <w:tblPr>
        <w:tblStyle w:val="Table12"/>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0"/>
        </w:trPr>
        <w:tc>
          <w:tcPr>
            <w:shd w:fill="d9eaf2" w:val="clear"/>
          </w:tcPr>
          <w:p w:rsidR="00000000" w:rsidDel="00000000" w:rsidP="00000000" w:rsidRDefault="00000000" w:rsidRPr="00000000" w14:paraId="000000EC">
            <w:pPr>
              <w:rPr/>
            </w:pPr>
            <w:r w:rsidDel="00000000" w:rsidR="00000000" w:rsidRPr="00000000">
              <w:rPr>
                <w:b w:val="1"/>
                <w:bCs w:val="1"/>
                <w:rtl w:val="0"/>
              </w:rPr>
              <w:t xml:space="preserve">Outcome</w:t>
            </w:r>
            <w:r w:rsidDel="00000000" w:rsidR="00000000" w:rsidRPr="00000000">
              <w:rPr>
                <w:rtl w:val="0"/>
              </w:rPr>
            </w:r>
          </w:p>
        </w:tc>
        <w:tc>
          <w:tcPr>
            <w:shd w:fill="d9eaf2" w:val="clear"/>
          </w:tcPr>
          <w:p w:rsidR="00000000" w:rsidDel="00000000" w:rsidP="00000000" w:rsidRDefault="00000000" w:rsidRPr="00000000" w14:paraId="000000ED">
            <w:pPr>
              <w:rPr/>
            </w:pPr>
            <w:r w:rsidDel="00000000" w:rsidR="00000000" w:rsidRPr="00000000">
              <w:rPr>
                <w:b w:val="1"/>
                <w:bCs w:val="1"/>
                <w:rtl w:val="0"/>
              </w:rPr>
              <w:t xml:space="preserve">Count</w:t>
            </w:r>
            <w:r w:rsidDel="00000000" w:rsidR="00000000" w:rsidRPr="00000000">
              <w:rPr>
                <w:rtl w:val="0"/>
              </w:rPr>
            </w:r>
          </w:p>
        </w:tc>
        <w:tc>
          <w:tcPr>
            <w:shd w:fill="d9eaf2" w:val="clear"/>
          </w:tcPr>
          <w:p w:rsidR="00000000" w:rsidDel="00000000" w:rsidP="00000000" w:rsidRDefault="00000000" w:rsidRPr="00000000" w14:paraId="000000EE">
            <w:pPr>
              <w:rPr/>
            </w:pPr>
            <w:r w:rsidDel="00000000" w:rsidR="00000000" w:rsidRPr="00000000">
              <w:rPr>
                <w:b w:val="1"/>
                <w:bCs w:val="1"/>
                <w:rtl w:val="0"/>
              </w:rPr>
              <w:t xml:space="preserve">Addresses / note</w:t>
            </w: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PASS</w:t>
            </w:r>
          </w:p>
        </w:tc>
        <w:tc>
          <w:tcPr/>
          <w:p w:rsidR="00000000" w:rsidDel="00000000" w:rsidP="00000000" w:rsidRDefault="00000000" w:rsidRPr="00000000" w14:paraId="000000F0">
            <w:pPr>
              <w:rPr/>
            </w:pPr>
            <w:r w:rsidDel="00000000" w:rsidR="00000000" w:rsidRPr="00000000">
              <w:rPr>
                <w:rtl w:val="0"/>
              </w:rPr>
              <w:t xml:space="preserve">16</w:t>
            </w:r>
          </w:p>
        </w:tc>
        <w:tc>
          <w:tcPr/>
          <w:p w:rsidR="00000000" w:rsidDel="00000000" w:rsidP="00000000" w:rsidRDefault="00000000" w:rsidRPr="00000000" w14:paraId="000000F1">
            <w:pPr>
              <w:rPr/>
            </w:pPr>
            <w:r w:rsidDel="00000000" w:rsidR="00000000" w:rsidRPr="00000000">
              <w:rPr>
                <w:rtl w:val="0"/>
              </w:rPr>
              <w:t xml:space="preserve">c.1.a.1, c.1.a.2, c.2.a, c.2.b, c.2.c, d.1.a, d.1.b.1, d.1.b.2, d.2.b, d.2.d.3, d.3.a.1, d.3.a.2, d.3.b.1, d.3.c.1, d.3.c.2, d.3.c.3</w:t>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QUALIFIED / BOUNDED</w:t>
            </w:r>
          </w:p>
        </w:tc>
        <w:tc>
          <w:tcPr/>
          <w:p w:rsidR="00000000" w:rsidDel="00000000" w:rsidP="00000000" w:rsidRDefault="00000000" w:rsidRPr="00000000" w14:paraId="000000F3">
            <w:pPr>
              <w:rPr/>
            </w:pPr>
            <w:r w:rsidDel="00000000" w:rsidR="00000000" w:rsidRPr="00000000">
              <w:rPr>
                <w:rtl w:val="0"/>
              </w:rPr>
              <w:t xml:space="preserve">6</w:t>
            </w:r>
          </w:p>
        </w:tc>
        <w:tc>
          <w:tcPr/>
          <w:p w:rsidR="00000000" w:rsidDel="00000000" w:rsidP="00000000" w:rsidRDefault="00000000" w:rsidRPr="00000000" w14:paraId="000000F4">
            <w:pPr>
              <w:rPr/>
            </w:pPr>
            <w:r w:rsidDel="00000000" w:rsidR="00000000" w:rsidRPr="00000000">
              <w:rPr>
                <w:rtl w:val="0"/>
              </w:rPr>
              <w:t xml:space="preserve">c.1.b.1, d.2.a, d.2.c, d.3.b.2, d.4.a.1, d.4.a.2</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UNRESOLVED</w:t>
            </w:r>
          </w:p>
        </w:tc>
        <w:tc>
          <w:tcPr/>
          <w:p w:rsidR="00000000" w:rsidDel="00000000" w:rsidP="00000000" w:rsidRDefault="00000000" w:rsidRPr="00000000" w14:paraId="000000F6">
            <w:pPr>
              <w:rPr/>
            </w:pPr>
            <w:r w:rsidDel="00000000" w:rsidR="00000000" w:rsidRPr="00000000">
              <w:rPr>
                <w:rtl w:val="0"/>
              </w:rPr>
              <w:t xml:space="preserve">5</w:t>
            </w:r>
          </w:p>
        </w:tc>
        <w:tc>
          <w:tcPr/>
          <w:p w:rsidR="00000000" w:rsidDel="00000000" w:rsidP="00000000" w:rsidRDefault="00000000" w:rsidRPr="00000000" w14:paraId="000000F7">
            <w:pPr>
              <w:rPr/>
            </w:pPr>
            <w:r w:rsidDel="00000000" w:rsidR="00000000" w:rsidRPr="00000000">
              <w:rPr>
                <w:rtl w:val="0"/>
              </w:rPr>
              <w:t xml:space="preserve">d.1.c.1, d.1.c.2, d.2.d.1, d.2.d.2, d.4.a.3</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CONTRADICTED</w:t>
            </w:r>
          </w:p>
        </w:tc>
        <w:tc>
          <w:tcPr/>
          <w:p w:rsidR="00000000" w:rsidDel="00000000" w:rsidP="00000000" w:rsidRDefault="00000000" w:rsidRPr="00000000" w14:paraId="000000F9">
            <w:pPr>
              <w:rPr/>
            </w:pPr>
            <w:r w:rsidDel="00000000" w:rsidR="00000000" w:rsidRPr="00000000">
              <w:rPr>
                <w:rtl w:val="0"/>
              </w:rPr>
              <w:t xml:space="preserve">0</w:t>
            </w:r>
          </w:p>
        </w:tc>
        <w:tc>
          <w:tcPr/>
          <w:p w:rsidR="00000000" w:rsidDel="00000000" w:rsidP="00000000" w:rsidRDefault="00000000" w:rsidRPr="00000000" w14:paraId="000000FA">
            <w:pPr>
              <w:rPr/>
            </w:pPr>
            <w:r w:rsidDel="00000000" w:rsidR="00000000" w:rsidRPr="00000000">
              <w:rPr>
                <w:rtl w:val="0"/>
              </w:rPr>
              <w:t xml:space="preserve">None in this calibration set</w:t>
            </w:r>
          </w:p>
        </w:tc>
      </w:tr>
    </w:tbl>
    <w:p w:rsidR="00000000" w:rsidDel="00000000" w:rsidP="00000000" w:rsidRDefault="00000000" w:rsidRPr="00000000" w14:paraId="000000FB">
      <w:pPr>
        <w:pStyle w:val="Heading2"/>
        <w:rPr/>
      </w:pPr>
      <w:r w:rsidDel="00000000" w:rsidR="00000000" w:rsidRPr="00000000">
        <w:rPr>
          <w:rtl w:val="0"/>
        </w:rPr>
        <w:t xml:space="preserve">The 11 reworked nodes</w:t>
      </w:r>
    </w:p>
    <w:p w:rsidR="00000000" w:rsidDel="00000000" w:rsidP="00000000" w:rsidRDefault="00000000" w:rsidRPr="00000000" w14:paraId="000000FC">
      <w:pPr>
        <w:spacing w:after="80" w:lineRule="auto"/>
        <w:rPr/>
      </w:pPr>
      <w:r w:rsidDel="00000000" w:rsidR="00000000" w:rsidRPr="00000000">
        <w:rPr>
          <w:b w:val="1"/>
          <w:bCs w:val="1"/>
          <w:rtl w:val="0"/>
        </w:rPr>
        <w:t xml:space="preserve">c.1.b.1 — Executive Chef / Chef Partner</w:t>
      </w:r>
      <w:r w:rsidDel="00000000" w:rsidR="00000000" w:rsidRPr="00000000">
        <w:rPr>
          <w:rtl w:val="0"/>
        </w:rPr>
        <w:br w:type="textWrapping"/>
        <w:t xml:space="preserve">Qualified / bound at restricted scope: FOH/BOH coordination, menu rollouts, and kitchen-to-floor accountability were supported; partner-level Executive Chef/Chef Partner scope was not.</w:t>
      </w:r>
    </w:p>
    <w:p w:rsidR="00000000" w:rsidDel="00000000" w:rsidP="00000000" w:rsidRDefault="00000000" w:rsidRPr="00000000" w14:paraId="000000FD">
      <w:pPr>
        <w:spacing w:after="80" w:lineRule="auto"/>
        <w:rPr/>
      </w:pPr>
      <w:r w:rsidDel="00000000" w:rsidR="00000000" w:rsidRPr="00000000">
        <w:rPr>
          <w:b w:val="1"/>
          <w:bCs w:val="1"/>
          <w:rtl w:val="0"/>
        </w:rPr>
        <w:t xml:space="preserve">d.1.c.1 — Pre-shift meetings</w:t>
      </w:r>
      <w:r w:rsidDel="00000000" w:rsidR="00000000" w:rsidRPr="00000000">
        <w:rPr>
          <w:rtl w:val="0"/>
        </w:rPr>
        <w:br w:type="textWrapping"/>
        <w:t xml:space="preserve">Unresolved at atomic level: Shift execution/training/standards evidence existed, but no atomic record explicitly established pre-shift meetings or huddles.</w:t>
      </w:r>
    </w:p>
    <w:p w:rsidR="00000000" w:rsidDel="00000000" w:rsidP="00000000" w:rsidRDefault="00000000" w:rsidRPr="00000000" w14:paraId="000000FE">
      <w:pPr>
        <w:spacing w:after="80" w:lineRule="auto"/>
        <w:rPr/>
      </w:pPr>
      <w:r w:rsidDel="00000000" w:rsidR="00000000" w:rsidRPr="00000000">
        <w:rPr>
          <w:b w:val="1"/>
          <w:bCs w:val="1"/>
          <w:rtl w:val="0"/>
        </w:rPr>
        <w:t xml:space="preserve">d.1.c.2 — Management meetings</w:t>
      </w:r>
      <w:r w:rsidDel="00000000" w:rsidR="00000000" w:rsidRPr="00000000">
        <w:rPr>
          <w:rtl w:val="0"/>
        </w:rPr>
        <w:br w:type="textWrapping"/>
        <w:t xml:space="preserve">Unresolved at atomic level: Manager training/supervisory layers were supported; formal recurring management meeting planning/chairing was not.</w:t>
      </w:r>
    </w:p>
    <w:p w:rsidR="00000000" w:rsidDel="00000000" w:rsidP="00000000" w:rsidRDefault="00000000" w:rsidRPr="00000000" w14:paraId="000000FF">
      <w:pPr>
        <w:spacing w:after="80" w:lineRule="auto"/>
        <w:rPr/>
      </w:pPr>
      <w:r w:rsidDel="00000000" w:rsidR="00000000" w:rsidRPr="00000000">
        <w:rPr>
          <w:b w:val="1"/>
          <w:bCs w:val="1"/>
          <w:rtl w:val="0"/>
        </w:rPr>
        <w:t xml:space="preserve">d.2.a — Exceptional upscale hospitality standards</w:t>
      </w:r>
      <w:r w:rsidDel="00000000" w:rsidR="00000000" w:rsidRPr="00000000">
        <w:rPr>
          <w:rtl w:val="0"/>
        </w:rPr>
        <w:br w:type="textWrapping"/>
        <w:t xml:space="preserve">Qualified / bound at restricted scope: High-performance, high-volume service evidence existed; fine-dining/luxury/steakhouse/chop-house evidence did not.</w:t>
      </w:r>
    </w:p>
    <w:p w:rsidR="00000000" w:rsidDel="00000000" w:rsidP="00000000" w:rsidRDefault="00000000" w:rsidRPr="00000000" w14:paraId="00000100">
      <w:pPr>
        <w:spacing w:after="80" w:lineRule="auto"/>
        <w:rPr/>
      </w:pPr>
      <w:r w:rsidDel="00000000" w:rsidR="00000000" w:rsidRPr="00000000">
        <w:rPr>
          <w:b w:val="1"/>
          <w:bCs w:val="1"/>
          <w:rtl w:val="0"/>
        </w:rPr>
        <w:t xml:space="preserve">d.2.c — Exceptional restaurant appearance/presentation</w:t>
      </w:r>
      <w:r w:rsidDel="00000000" w:rsidR="00000000" w:rsidRPr="00000000">
        <w:rPr>
          <w:rtl w:val="0"/>
        </w:rPr>
        <w:br w:type="textWrapping"/>
        <w:t xml:space="preserve">Qualified / bound at restricted scope: Food-prep/presentation standards and quality/process audits were supported; high-end aesthetic/facility staging was not.</w:t>
      </w:r>
    </w:p>
    <w:p w:rsidR="00000000" w:rsidDel="00000000" w:rsidP="00000000" w:rsidRDefault="00000000" w:rsidRPr="00000000" w14:paraId="00000101">
      <w:pPr>
        <w:spacing w:after="80" w:lineRule="auto"/>
        <w:rPr/>
      </w:pPr>
      <w:r w:rsidDel="00000000" w:rsidR="00000000" w:rsidRPr="00000000">
        <w:rPr>
          <w:b w:val="1"/>
          <w:bCs w:val="1"/>
          <w:rtl w:val="0"/>
        </w:rPr>
        <w:t xml:space="preserve">d.2.d.1 — Personally manage important guest experiences</w:t>
      </w:r>
      <w:r w:rsidDel="00000000" w:rsidR="00000000" w:rsidRPr="00000000">
        <w:rPr>
          <w:rtl w:val="0"/>
        </w:rPr>
        <w:br w:type="textWrapping"/>
        <w:t xml:space="preserve">Unresolved at atomic level: General customer-facing leadership existed; VIP/concierge/high-touch curated guest evidence did not.</w:t>
      </w:r>
    </w:p>
    <w:p w:rsidR="00000000" w:rsidDel="00000000" w:rsidP="00000000" w:rsidRDefault="00000000" w:rsidRPr="00000000" w14:paraId="00000102">
      <w:pPr>
        <w:spacing w:after="80" w:lineRule="auto"/>
        <w:rPr/>
      </w:pPr>
      <w:r w:rsidDel="00000000" w:rsidR="00000000" w:rsidRPr="00000000">
        <w:rPr>
          <w:b w:val="1"/>
          <w:bCs w:val="1"/>
          <w:rtl w:val="0"/>
        </w:rPr>
        <w:t xml:space="preserve">d.2.d.2 — Personally execute service recovery</w:t>
      </w:r>
      <w:r w:rsidDel="00000000" w:rsidR="00000000" w:rsidRPr="00000000">
        <w:rPr>
          <w:rtl w:val="0"/>
        </w:rPr>
        <w:br w:type="textWrapping"/>
        <w:t xml:space="preserve">Unresolved at atomic level: Problem-solving and floor management existed; no discrete service-recovery/table-side/de-escalation atom.</w:t>
      </w:r>
    </w:p>
    <w:p w:rsidR="00000000" w:rsidDel="00000000" w:rsidP="00000000" w:rsidRDefault="00000000" w:rsidRPr="00000000" w14:paraId="00000103">
      <w:pPr>
        <w:spacing w:after="80" w:lineRule="auto"/>
        <w:rPr/>
      </w:pPr>
      <w:r w:rsidDel="00000000" w:rsidR="00000000" w:rsidRPr="00000000">
        <w:rPr>
          <w:b w:val="1"/>
          <w:bCs w:val="1"/>
          <w:rtl w:val="0"/>
        </w:rPr>
        <w:t xml:space="preserve">d.3.b.2 — Monitor profitability metrics</w:t>
      </w:r>
      <w:r w:rsidDel="00000000" w:rsidR="00000000" w:rsidRPr="00000000">
        <w:rPr>
          <w:rtl w:val="0"/>
        </w:rPr>
        <w:br w:type="textWrapping"/>
        <w:t xml:space="preserve">Qualified / bound at restricted scope: Food-cost variance, POS/workflow audits, and labor optimization supported controllable operating lines; full unit P&amp;L/EBITDA/NOI/balance-sheet responsibility did not.</w:t>
      </w:r>
    </w:p>
    <w:p w:rsidR="00000000" w:rsidDel="00000000" w:rsidP="00000000" w:rsidRDefault="00000000" w:rsidRPr="00000000" w14:paraId="00000104">
      <w:pPr>
        <w:spacing w:after="80" w:lineRule="auto"/>
        <w:rPr/>
      </w:pPr>
      <w:r w:rsidDel="00000000" w:rsidR="00000000" w:rsidRPr="00000000">
        <w:rPr>
          <w:b w:val="1"/>
          <w:bCs w:val="1"/>
          <w:rtl w:val="0"/>
        </w:rPr>
        <w:t xml:space="preserve">d.4.a.1 — Health regulations</w:t>
      </w:r>
      <w:r w:rsidDel="00000000" w:rsidR="00000000" w:rsidRPr="00000000">
        <w:rPr>
          <w:rtl w:val="0"/>
        </w:rPr>
        <w:br w:type="textWrapping"/>
        <w:t xml:space="preserve">Qualified / bound at restricted scope: Food-safety/kitchen process standards were supported; no verified ServSafe ID/date/expiry or health-inspector/signoff record.</w:t>
      </w:r>
    </w:p>
    <w:p w:rsidR="00000000" w:rsidDel="00000000" w:rsidP="00000000" w:rsidRDefault="00000000" w:rsidRPr="00000000" w14:paraId="00000105">
      <w:pPr>
        <w:spacing w:after="80" w:lineRule="auto"/>
        <w:rPr/>
      </w:pPr>
      <w:r w:rsidDel="00000000" w:rsidR="00000000" w:rsidRPr="00000000">
        <w:rPr>
          <w:b w:val="1"/>
          <w:bCs w:val="1"/>
          <w:rtl w:val="0"/>
        </w:rPr>
        <w:t xml:space="preserve">d.4.a.2 — Liquor regulations</w:t>
      </w:r>
      <w:r w:rsidDel="00000000" w:rsidR="00000000" w:rsidRPr="00000000">
        <w:rPr>
          <w:rtl w:val="0"/>
        </w:rPr>
        <w:br w:type="textWrapping"/>
        <w:t xml:space="preserve">Qualified / bound at restricted scope: Large-scale bar operations, tap systems, inventory, and promotions were supported; regulatory execution/certification was not.</w:t>
      </w:r>
    </w:p>
    <w:p w:rsidR="00000000" w:rsidDel="00000000" w:rsidP="00000000" w:rsidRDefault="00000000" w:rsidRPr="00000000" w14:paraId="00000106">
      <w:pPr>
        <w:spacing w:after="80" w:lineRule="auto"/>
        <w:rPr/>
      </w:pPr>
      <w:r w:rsidDel="00000000" w:rsidR="00000000" w:rsidRPr="00000000">
        <w:rPr>
          <w:b w:val="1"/>
          <w:bCs w:val="1"/>
          <w:rtl w:val="0"/>
        </w:rPr>
        <w:t xml:space="preserve">d.4.a.3 — Employment regulations</w:t>
      </w:r>
      <w:r w:rsidDel="00000000" w:rsidR="00000000" w:rsidRPr="00000000">
        <w:rPr>
          <w:rtl w:val="0"/>
        </w:rPr>
        <w:br w:type="textWrapping"/>
        <w:t xml:space="preserve">Unresolved at atomic level: 65+ workforce scheduling/management, recruiting contracts, and retention were supported; FLSA audits, break tracking, I-9 verification, or labor-board work were not.</w:t>
      </w:r>
    </w:p>
    <w:p w:rsidR="00000000" w:rsidDel="00000000" w:rsidP="00000000" w:rsidRDefault="00000000" w:rsidRPr="00000000" w14:paraId="00000107">
      <w:pPr>
        <w:pStyle w:val="Heading1"/>
        <w:rPr/>
      </w:pPr>
      <w:r w:rsidDel="00000000" w:rsidR="00000000" w:rsidRPr="00000000">
        <w:rPr>
          <w:rtl w:val="0"/>
        </w:rPr>
        <w:t xml:space="preserve">10. B→B4 non-negotiable operating contract</w:t>
      </w:r>
    </w:p>
    <w:tbl>
      <w:tblPr>
        <w:tblStyle w:val="Table1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0"/>
        </w:trPr>
        <w:tc>
          <w:tcPr>
            <w:shd w:fill="d9eaf2" w:val="clear"/>
          </w:tcPr>
          <w:p w:rsidR="00000000" w:rsidDel="00000000" w:rsidP="00000000" w:rsidRDefault="00000000" w:rsidRPr="00000000" w14:paraId="00000108">
            <w:pPr>
              <w:rPr/>
            </w:pPr>
            <w:r w:rsidDel="00000000" w:rsidR="00000000" w:rsidRPr="00000000">
              <w:rPr>
                <w:b w:val="1"/>
                <w:bCs w:val="1"/>
                <w:rtl w:val="0"/>
              </w:rPr>
              <w:t xml:space="preserve">Control</w:t>
            </w:r>
            <w:r w:rsidDel="00000000" w:rsidR="00000000" w:rsidRPr="00000000">
              <w:rPr>
                <w:rtl w:val="0"/>
              </w:rPr>
            </w:r>
          </w:p>
        </w:tc>
        <w:tc>
          <w:tcPr>
            <w:shd w:fill="d9eaf2" w:val="clear"/>
          </w:tcPr>
          <w:p w:rsidR="00000000" w:rsidDel="00000000" w:rsidP="00000000" w:rsidRDefault="00000000" w:rsidRPr="00000000" w14:paraId="00000109">
            <w:pPr>
              <w:rPr/>
            </w:pPr>
            <w:r w:rsidDel="00000000" w:rsidR="00000000" w:rsidRPr="00000000">
              <w:rPr>
                <w:b w:val="1"/>
                <w:bCs w:val="1"/>
                <w:rtl w:val="0"/>
              </w:rPr>
              <w:t xml:space="preserve">Locked rule</w:t>
            </w:r>
            <w:r w:rsidDel="00000000" w:rsidR="00000000" w:rsidRPr="00000000">
              <w:rPr>
                <w:rtl w:val="0"/>
              </w:rPr>
            </w:r>
          </w:p>
        </w:tc>
      </w:tr>
      <w:tr>
        <w:trPr>
          <w:cantSplit w:val="0"/>
          <w:tblHeader w:val="0"/>
        </w:trPr>
        <w:tc>
          <w:tcPr/>
          <w:p w:rsidR="00000000" w:rsidDel="00000000" w:rsidP="00000000" w:rsidRDefault="00000000" w:rsidRPr="00000000" w14:paraId="0000010A">
            <w:pPr>
              <w:rPr/>
            </w:pPr>
            <w:r w:rsidDel="00000000" w:rsidR="00000000" w:rsidRPr="00000000">
              <w:rPr>
                <w:b w:val="1"/>
                <w:bCs w:val="1"/>
                <w:rtl w:val="0"/>
              </w:rPr>
              <w:t xml:space="preserve">Target authority</w:t>
            </w:r>
            <w:r w:rsidDel="00000000" w:rsidR="00000000" w:rsidRPr="00000000">
              <w:rPr>
                <w:rtl w:val="0"/>
              </w:rPr>
            </w:r>
          </w:p>
        </w:tc>
        <w:tc>
          <w:tcPr/>
          <w:p w:rsidR="00000000" w:rsidDel="00000000" w:rsidP="00000000" w:rsidRDefault="00000000" w:rsidRPr="00000000" w14:paraId="0000010B">
            <w:pPr>
              <w:rPr/>
            </w:pPr>
            <w:r w:rsidDel="00000000" w:rsidR="00000000" w:rsidRPr="00000000">
              <w:rPr>
                <w:rtl w:val="0"/>
              </w:rPr>
              <w:t xml:space="preserve">B1/B2 must preserve the target as written; no candidate-driven reshaping.</w:t>
            </w:r>
          </w:p>
        </w:tc>
      </w:tr>
      <w:tr>
        <w:trPr>
          <w:cantSplit w:val="0"/>
          <w:tblHeader w:val="0"/>
        </w:trPr>
        <w:tc>
          <w:tcPr/>
          <w:p w:rsidR="00000000" w:rsidDel="00000000" w:rsidP="00000000" w:rsidRDefault="00000000" w:rsidRPr="00000000" w14:paraId="0000010C">
            <w:pPr>
              <w:rPr/>
            </w:pPr>
            <w:r w:rsidDel="00000000" w:rsidR="00000000" w:rsidRPr="00000000">
              <w:rPr>
                <w:b w:val="1"/>
                <w:bCs w:val="1"/>
                <w:rtl w:val="0"/>
              </w:rPr>
              <w:t xml:space="preserve">Candidate blindness</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t xml:space="preserve">B and B1/B2 may not inspect candidate evidence.</w:t>
            </w:r>
          </w:p>
        </w:tc>
      </w:tr>
      <w:tr>
        <w:trPr>
          <w:cantSplit w:val="0"/>
          <w:tblHeader w:val="0"/>
        </w:trPr>
        <w:tc>
          <w:tcPr/>
          <w:p w:rsidR="00000000" w:rsidDel="00000000" w:rsidP="00000000" w:rsidRDefault="00000000" w:rsidRPr="00000000" w14:paraId="0000010E">
            <w:pPr>
              <w:rPr/>
            </w:pPr>
            <w:r w:rsidDel="00000000" w:rsidR="00000000" w:rsidRPr="00000000">
              <w:rPr>
                <w:b w:val="1"/>
                <w:bCs w:val="1"/>
                <w:rtl w:val="0"/>
              </w:rPr>
              <w:t xml:space="preserve">Discovery permissiveness</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t xml:space="preserve">B3 may surface plausible, proximate, transferable evidence so B4 has enough material to inspect.</w:t>
            </w:r>
          </w:p>
        </w:tc>
      </w:tr>
      <w:tr>
        <w:trPr>
          <w:cantSplit w:val="0"/>
          <w:tblHeader w:val="0"/>
        </w:trPr>
        <w:tc>
          <w:tcPr/>
          <w:p w:rsidR="00000000" w:rsidDel="00000000" w:rsidP="00000000" w:rsidRDefault="00000000" w:rsidRPr="00000000" w14:paraId="00000110">
            <w:pPr>
              <w:rPr/>
            </w:pPr>
            <w:r w:rsidDel="00000000" w:rsidR="00000000" w:rsidRPr="00000000">
              <w:rPr>
                <w:b w:val="1"/>
                <w:bCs w:val="1"/>
                <w:rtl w:val="0"/>
              </w:rPr>
              <w:t xml:space="preserve">Truth strictness</w:t>
            </w: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t xml:space="preserve">B4 alone resolves exact proposition truth and scope.</w:t>
            </w:r>
          </w:p>
        </w:tc>
      </w:tr>
      <w:tr>
        <w:trPr>
          <w:cantSplit w:val="0"/>
          <w:tblHeader w:val="0"/>
        </w:trPr>
        <w:tc>
          <w:tcPr/>
          <w:p w:rsidR="00000000" w:rsidDel="00000000" w:rsidP="00000000" w:rsidRDefault="00000000" w:rsidRPr="00000000" w14:paraId="00000112">
            <w:pPr>
              <w:rPr/>
            </w:pPr>
            <w:r w:rsidDel="00000000" w:rsidR="00000000" w:rsidRPr="00000000">
              <w:rPr>
                <w:b w:val="1"/>
                <w:bCs w:val="1"/>
                <w:rtl w:val="0"/>
              </w:rPr>
              <w:t xml:space="preserve">No title proof</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tl w:val="0"/>
              </w:rPr>
              <w:t xml:space="preserve">Titles can aid discovery; they cannot establish duties by themselves.</w:t>
            </w:r>
          </w:p>
        </w:tc>
      </w:tr>
      <w:tr>
        <w:trPr>
          <w:cantSplit w:val="0"/>
          <w:tblHeader w:val="0"/>
        </w:trPr>
        <w:tc>
          <w:tcPr/>
          <w:p w:rsidR="00000000" w:rsidDel="00000000" w:rsidP="00000000" w:rsidRDefault="00000000" w:rsidRPr="00000000" w14:paraId="00000114">
            <w:pPr>
              <w:rPr/>
            </w:pPr>
            <w:r w:rsidDel="00000000" w:rsidR="00000000" w:rsidRPr="00000000">
              <w:rPr>
                <w:b w:val="1"/>
                <w:bCs w:val="1"/>
                <w:rtl w:val="0"/>
              </w:rPr>
              <w:t xml:space="preserve">No necessity proof</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t xml:space="preserve">A role 'must have involved' something is not evidence that it did.</w:t>
            </w:r>
          </w:p>
        </w:tc>
      </w:tr>
      <w:tr>
        <w:trPr>
          <w:cantSplit w:val="0"/>
          <w:tblHeader w:val="0"/>
        </w:trPr>
        <w:tc>
          <w:tcPr/>
          <w:p w:rsidR="00000000" w:rsidDel="00000000" w:rsidP="00000000" w:rsidRDefault="00000000" w:rsidRPr="00000000" w14:paraId="00000116">
            <w:pPr>
              <w:rPr/>
            </w:pPr>
            <w:r w:rsidDel="00000000" w:rsidR="00000000" w:rsidRPr="00000000">
              <w:rPr>
                <w:b w:val="1"/>
                <w:bCs w:val="1"/>
                <w:rtl w:val="0"/>
              </w:rPr>
              <w:t xml:space="preserve">No credential invention</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tl w:val="0"/>
              </w:rPr>
              <w:t xml:space="preserve">Credentials must be explicitly evidenced.</w:t>
            </w:r>
          </w:p>
        </w:tc>
      </w:tr>
      <w:tr>
        <w:trPr>
          <w:cantSplit w:val="0"/>
          <w:tblHeader w:val="0"/>
        </w:trPr>
        <w:tc>
          <w:tcPr/>
          <w:p w:rsidR="00000000" w:rsidDel="00000000" w:rsidP="00000000" w:rsidRDefault="00000000" w:rsidRPr="00000000" w14:paraId="00000118">
            <w:pPr>
              <w:rPr/>
            </w:pPr>
            <w:r w:rsidDel="00000000" w:rsidR="00000000" w:rsidRPr="00000000">
              <w:rPr>
                <w:b w:val="1"/>
                <w:bCs w:val="1"/>
                <w:rtl w:val="0"/>
              </w:rPr>
              <w:t xml:space="preserve">Evidence ceiling</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t xml:space="preserve">Downstream reasoning may not exceed the scope B4 admits.</w:t>
            </w:r>
          </w:p>
        </w:tc>
      </w:tr>
      <w:tr>
        <w:trPr>
          <w:cantSplit w:val="0"/>
          <w:tblHeader w:val="0"/>
        </w:trPr>
        <w:tc>
          <w:tcPr/>
          <w:p w:rsidR="00000000" w:rsidDel="00000000" w:rsidP="00000000" w:rsidRDefault="00000000" w:rsidRPr="00000000" w14:paraId="0000011A">
            <w:pPr>
              <w:rPr/>
            </w:pPr>
            <w:r w:rsidDel="00000000" w:rsidR="00000000" w:rsidRPr="00000000">
              <w:rPr>
                <w:b w:val="1"/>
                <w:bCs w:val="1"/>
                <w:rtl w:val="0"/>
              </w:rPr>
              <w:t xml:space="preserve">Gap preservation</w:t>
            </w:r>
            <w:r w:rsidDel="00000000" w:rsidR="00000000" w:rsidRPr="00000000">
              <w:rPr>
                <w:rtl w:val="0"/>
              </w:rPr>
            </w:r>
          </w:p>
        </w:tc>
        <w:tc>
          <w:tcPr/>
          <w:p w:rsidR="00000000" w:rsidDel="00000000" w:rsidP="00000000" w:rsidRDefault="00000000" w:rsidRPr="00000000" w14:paraId="0000011B">
            <w:pPr>
              <w:rPr/>
            </w:pPr>
            <w:r w:rsidDel="00000000" w:rsidR="00000000" w:rsidRPr="00000000">
              <w:rPr>
                <w:rtl w:val="0"/>
              </w:rPr>
              <w:t xml:space="preserve">Unknowns remain unknown; absence of evidence is not silently repaired.</w:t>
            </w:r>
          </w:p>
        </w:tc>
      </w:tr>
      <w:tr>
        <w:trPr>
          <w:cantSplit w:val="0"/>
          <w:tblHeader w:val="0"/>
        </w:trPr>
        <w:tc>
          <w:tcPr/>
          <w:p w:rsidR="00000000" w:rsidDel="00000000" w:rsidP="00000000" w:rsidRDefault="00000000" w:rsidRPr="00000000" w14:paraId="0000011C">
            <w:pPr>
              <w:rPr/>
            </w:pPr>
            <w:r w:rsidDel="00000000" w:rsidR="00000000" w:rsidRPr="00000000">
              <w:rPr>
                <w:b w:val="1"/>
                <w:bCs w:val="1"/>
                <w:rtl w:val="0"/>
              </w:rPr>
              <w:t xml:space="preserve">Traceability</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t xml:space="preserve">Every admitted proposition must remain traceable to target address and candidate evidence.</w:t>
            </w:r>
          </w:p>
        </w:tc>
      </w:tr>
    </w:tbl>
    <w:p w:rsidR="00000000" w:rsidDel="00000000" w:rsidP="00000000" w:rsidRDefault="00000000" w:rsidRPr="00000000" w14:paraId="0000011E">
      <w:pPr>
        <w:pStyle w:val="Heading1"/>
        <w:rPr/>
      </w:pPr>
      <w:r w:rsidDel="00000000" w:rsidR="00000000" w:rsidRPr="00000000">
        <w:rPr>
          <w:rtl w:val="0"/>
        </w:rPr>
        <w:t xml:space="preserve">11. Handoff state leaving B4</w:t>
      </w:r>
    </w:p>
    <w:p w:rsidR="00000000" w:rsidDel="00000000" w:rsidP="00000000" w:rsidRDefault="00000000" w:rsidRPr="00000000" w14:paraId="0000011F">
      <w:pPr>
        <w:rPr/>
      </w:pPr>
      <w:r w:rsidDel="00000000" w:rsidR="00000000" w:rsidRPr="00000000">
        <w:rPr>
          <w:rtl w:val="0"/>
        </w:rPr>
        <w:t xml:space="preserve">B4 does not generate the final outward candidate representation. It hands downstream an audited, addressable ledger whose bindings are already classified by truth status, bounded scope, evidence ceiling, unresolved gaps, and contradictions.</w:t>
      </w:r>
    </w:p>
    <w:p w:rsidR="00000000" w:rsidDel="00000000" w:rsidP="00000000" w:rsidRDefault="00000000" w:rsidRPr="00000000" w14:paraId="00000120">
      <w:pPr>
        <w:shd w:fill="f8e6e9" w:val="clear"/>
        <w:spacing w:after="0" w:before="100" w:lineRule="auto"/>
        <w:rPr/>
      </w:pPr>
      <w:r w:rsidDel="00000000" w:rsidR="00000000" w:rsidRPr="00000000">
        <w:rPr>
          <w:b w:val="1"/>
          <w:bCs w:val="1"/>
          <w:color w:val="4b1f28"/>
          <w:sz w:val="18"/>
          <w:szCs w:val="18"/>
          <w:rtl w:val="0"/>
        </w:rPr>
        <w:t xml:space="preserve">B4 OUTPUT CONTRACT: downstream may reason over admitted evidence, but it may not reopen candidate truth by silently expanding a bounded proposition or converting an unresolved gap into fact.</w:t>
      </w:r>
      <w:r w:rsidDel="00000000" w:rsidR="00000000" w:rsidRPr="00000000">
        <w:rPr>
          <w:rtl w:val="0"/>
        </w:rPr>
      </w:r>
    </w:p>
    <w:sectPr>
      <w:footerReference r:id="rId6" w:type="default"/>
      <w:pgSz w:h="15840" w:w="12240" w:orient="portrait"/>
      <w:pgMar w:bottom="864" w:top="864" w:left="979" w:right="97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e6e6e"/>
        <w:sz w:val="16"/>
        <w:szCs w:val="16"/>
        <w:u w:val="none"/>
        <w:shd w:fill="auto" w:val="clear"/>
        <w:vertAlign w:val="baseline"/>
        <w:rtl w:val="0"/>
      </w:rPr>
      <w:t xml:space="preserve">Spatial DNA — B through B4 Architecture — Finalized Control Document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0f3d5e"/>
      <w:sz w:val="34"/>
      <w:szCs w:val="34"/>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45374"/>
      <w:sz w:val="27"/>
      <w:szCs w:val="27"/>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1f6f8b"/>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f2937"/>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