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Allographic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Alberti invented a device for transcribing 3D perspective. He invented scale modeling in drawings to build from. And directions so that workers could execute architecture without the architect there.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Brunelleschi invented authorial architecture and was onsite to approve every brick, but by the end he also used a scaled 3D model. He wanted to preserve his secrets and would leave models and drawings unfinished. He made dome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Hogarths serpentine line. Bc architecture doesn’t move it is a static implication of movement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Deleuze on folds and the baroque- forms can change morph</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He claims that mass produce the infinite variants of the same objectile- at the same unit cost as identical copies-   This is a load of horse shit. The cost of digital fabrication is astonomical because it is so time consuming compared to the speed of traditional indentical object reproduction. Yes, it is just as cheap to print a different shape than to print the same shape, but it is astronomically more time consuming than traditional fabrication.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