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aps/>
          <w:color w:val="888888"/>
          <w:spacing w:val="200"/>
          <w:sz w:val="20"/>
          <w:szCs w:val="20"/>
        </w:rPr>
        <w:t xml:space="preserve">EDITORIAL REVIEW</w:t>
      </w:r>
    </w:p>
    <w:p>
      <w:pPr>
        <w:spacing w:after="60"/>
        <w:jc w:val="center"/>
      </w:pPr>
      <w:r>
        <w:rPr>
          <w:rFonts w:ascii="Georgia" w:cs="Georgia" w:eastAsia="Georgia" w:hAnsi="Georgia"/>
          <w:i/>
          <w:iCs/>
          <w:color w:val="999999"/>
          <w:sz w:val="18"/>
          <w:szCs w:val="18"/>
        </w:rPr>
        <w:t xml:space="preserve">Confidential — For Author Use Only</w:t>
      </w:r>
    </w:p>
    <w:p>
      <w:pPr>
        <w:pBdr>
          <w:bottom w:val="single" w:color="1B3A5C" w:sz="6" w:space="8"/>
        </w:pBdr>
        <w:spacing w:after="300"/>
        <w:jc w:val="center"/>
      </w:pPr>
    </w:p>
    <w:p>
      <w:pPr>
        <w:spacing w:after="100"/>
        <w:jc w:val="center"/>
      </w:pPr>
      <w:r>
        <w:rPr>
          <w:rFonts w:ascii="Georgia" w:cs="Georgia" w:eastAsia="Georgia" w:hAnsi="Georgia"/>
          <w:b/>
          <w:bCs/>
          <w:color w:val="1B3A5C"/>
          <w:sz w:val="44"/>
          <w:szCs w:val="44"/>
        </w:rPr>
        <w:t xml:space="preserve">A Cookbook of SPL Recipes</w:t>
      </w:r>
    </w:p>
    <w:p>
      <w:pPr>
        <w:spacing w:after="60"/>
        <w:jc w:val="center"/>
      </w:pPr>
      <w:r>
        <w:rPr>
          <w:rFonts w:ascii="Georgia" w:cs="Georgia" w:eastAsia="Georgia" w:hAnsi="Georgia"/>
          <w:i/>
          <w:iCs/>
          <w:color w:val="555555"/>
          <w:sz w:val="24"/>
          <w:szCs w:val="24"/>
        </w:rPr>
        <w:t xml:space="preserve">Declarative Approaches to Agentic Workflow Orchestration</w:t>
      </w:r>
    </w:p>
    <w:p>
      <w:pPr>
        <w:spacing w:after="300"/>
        <w:jc w:val="center"/>
      </w:pPr>
      <w:r>
        <w:rPr>
          <w:rFonts w:ascii="Georgia" w:cs="Georgia" w:eastAsia="Georgia" w:hAnsi="Georgia"/>
          <w:color w:val="555555"/>
          <w:sz w:val="24"/>
          <w:szCs w:val="24"/>
        </w:rPr>
        <w:t xml:space="preserve">by Wen Gong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2F7" w:val="clear"/>
            <w:tcMar>
              <w:top w:type="dxa" w:w="60"/>
              <w:left w:type="dxa" w:w="120"/>
              <w:bottom w:type="dxa" w:w="60"/>
              <w:right w:type="dxa" w:w="120"/>
            </w:tcMar>
          </w:tcPr>
          <w:p>
            <w:r>
              <w:rPr>
                <w:rFonts w:ascii="Georgia" w:cs="Georgia" w:eastAsia="Georgia" w:hAnsi="Georgia"/>
                <w:b/>
                <w:bCs/>
                <w:sz w:val="20"/>
                <w:szCs w:val="20"/>
              </w:rPr>
              <w:t xml:space="preserve">Reviewer</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Senior Editor, Technical Publishing Division</w:t>
            </w:r>
          </w:p>
        </w:tc>
      </w:tr>
      <w:tr>
        <w:tc>
          <w:tcPr>
            <w:tcW w:type="dxa" w:w="3120"/>
            <w:tcBorders>
              <w:top w:val="single" w:color="CCCCCC" w:sz="1"/>
              <w:left w:val="single" w:color="CCCCCC" w:sz="1"/>
              <w:bottom w:val="single" w:color="CCCCCC" w:sz="1"/>
              <w:right w:val="single" w:color="CCCCCC" w:sz="1"/>
            </w:tcBorders>
            <w:shd w:fill="EDF2F7" w:val="clear"/>
            <w:tcMar>
              <w:top w:type="dxa" w:w="60"/>
              <w:left w:type="dxa" w:w="120"/>
              <w:bottom w:type="dxa" w:w="60"/>
              <w:right w:type="dxa" w:w="120"/>
            </w:tcMar>
          </w:tcPr>
          <w:p>
            <w:r>
              <w:rPr>
                <w:rFonts w:ascii="Georgia" w:cs="Georgia" w:eastAsia="Georgia" w:hAnsi="Georgia"/>
                <w:b/>
                <w:bCs/>
                <w:sz w:val="20"/>
                <w:szCs w:val="20"/>
              </w:rPr>
              <w:t xml:space="preserve">Manuscript Version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v0.1 (March 2026)</w:t>
            </w:r>
          </w:p>
        </w:tc>
      </w:tr>
      <w:tr>
        <w:tc>
          <w:tcPr>
            <w:tcW w:type="dxa" w:w="3120"/>
            <w:tcBorders>
              <w:top w:val="single" w:color="CCCCCC" w:sz="1"/>
              <w:left w:val="single" w:color="CCCCCC" w:sz="1"/>
              <w:bottom w:val="single" w:color="CCCCCC" w:sz="1"/>
              <w:right w:val="single" w:color="CCCCCC" w:sz="1"/>
            </w:tcBorders>
            <w:shd w:fill="EDF2F7" w:val="clear"/>
            <w:tcMar>
              <w:top w:type="dxa" w:w="60"/>
              <w:left w:type="dxa" w:w="120"/>
              <w:bottom w:type="dxa" w:w="60"/>
              <w:right w:type="dxa" w:w="120"/>
            </w:tcMar>
          </w:tcPr>
          <w:p>
            <w:r>
              <w:rPr>
                <w:rFonts w:ascii="Georgia" w:cs="Georgia" w:eastAsia="Georgia" w:hAnsi="Georgia"/>
                <w:b/>
                <w:bCs/>
                <w:sz w:val="20"/>
                <w:szCs w:val="20"/>
              </w:rPr>
              <w:t xml:space="preserve">Pages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199 (10 chapters, 37 recipes)</w:t>
            </w:r>
          </w:p>
        </w:tc>
      </w:tr>
      <w:tr>
        <w:tc>
          <w:tcPr>
            <w:tcW w:type="dxa" w:w="3120"/>
            <w:tcBorders>
              <w:top w:val="single" w:color="CCCCCC" w:sz="1"/>
              <w:left w:val="single" w:color="CCCCCC" w:sz="1"/>
              <w:bottom w:val="single" w:color="CCCCCC" w:sz="1"/>
              <w:right w:val="single" w:color="CCCCCC" w:sz="1"/>
            </w:tcBorders>
            <w:shd w:fill="EDF2F7" w:val="clear"/>
            <w:tcMar>
              <w:top w:type="dxa" w:w="60"/>
              <w:left w:type="dxa" w:w="120"/>
              <w:bottom w:type="dxa" w:w="60"/>
              <w:right w:type="dxa" w:w="120"/>
            </w:tcMar>
          </w:tcPr>
          <w:p>
            <w:r>
              <w:rPr>
                <w:rFonts w:ascii="Georgia" w:cs="Georgia" w:eastAsia="Georgia" w:hAnsi="Georgia"/>
                <w:b/>
                <w:bCs/>
                <w:sz w:val="20"/>
                <w:szCs w:val="20"/>
              </w:rPr>
              <w:t xml:space="preserve">Review Date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March 22, 2026</w:t>
            </w:r>
          </w:p>
        </w:tc>
      </w:tr>
      <w:tr>
        <w:tc>
          <w:tcPr>
            <w:tcW w:type="dxa" w:w="3120"/>
            <w:tcBorders>
              <w:top w:val="single" w:color="CCCCCC" w:sz="1"/>
              <w:left w:val="single" w:color="CCCCCC" w:sz="1"/>
              <w:bottom w:val="single" w:color="CCCCCC" w:sz="1"/>
              <w:right w:val="single" w:color="CCCCCC" w:sz="1"/>
            </w:tcBorders>
            <w:shd w:fill="EDF2F7" w:val="clear"/>
            <w:tcMar>
              <w:top w:type="dxa" w:w="60"/>
              <w:left w:type="dxa" w:w="120"/>
              <w:bottom w:type="dxa" w:w="60"/>
              <w:right w:type="dxa" w:w="120"/>
            </w:tcMar>
          </w:tcPr>
          <w:p>
            <w:r>
              <w:rPr>
                <w:rFonts w:ascii="Georgia" w:cs="Georgia" w:eastAsia="Georgia" w:hAnsi="Georgia"/>
                <w:b/>
                <w:bCs/>
                <w:sz w:val="20"/>
                <w:szCs w:val="20"/>
              </w:rPr>
              <w:t xml:space="preserve">Overall Assessment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STRONG FOUNDATION — Revise and Resubmit</w:t>
            </w:r>
          </w:p>
        </w:tc>
      </w:tr>
    </w:tbl>
    <w:p>
      <w:pPr>
        <w:spacing w:before="400"/>
      </w:pPr>
    </w:p>
    <w:p>
      <w:pPr>
        <w:pBdr>
          <w:bottom w:val="single" w:color="CCCCCC" w:sz="3" w:space="8"/>
        </w:pBdr>
        <w:spacing w:after="200"/>
      </w:pPr>
    </w:p>
    <w:p>
      <w:pPr>
        <w:pStyle w:val="Heading1"/>
      </w:pPr>
      <w:r>
        <w:t xml:space="preserve">I. Executive Summary</w:t>
      </w:r>
    </w:p>
    <w:p>
      <w:pPr>
        <w:spacing w:after="200"/>
      </w:pPr>
      <w:r>
        <w:t xml:space="preserve">Wen, congratulations on an ambitious and deeply personal first manuscript. </w:t>
      </w:r>
      <w:r>
        <w:rPr>
          <w:i/>
          <w:iCs/>
        </w:rPr>
        <w:t xml:space="preserve">A Cookbook of SPL Recipes</w:t>
      </w:r>
      <w:r>
        <w:t xml:space="preserve"> tackles a genuine gap in the technical publishing landscape: the absence of a practical, accessible guide to declarative AI workflow orchestration that does not assume a Python-first audience. The book’s dual mission—serving SQL professionals </w:t>
      </w:r>
      <w:r>
        <w:rPr>
          <w:i/>
          <w:iCs/>
        </w:rPr>
        <w:t xml:space="preserve">and</w:t>
      </w:r>
      <w:r>
        <w:t xml:space="preserve"> engineers in the Global South—is both commercially distinctive and ethically grounded. There is a real audience for this book, and at its best, the manuscript speaks to them with warmth, clarity, and technical precision.</w:t>
      </w:r>
    </w:p>
    <w:p>
      <w:pPr>
        <w:spacing w:after="200"/>
      </w:pPr>
      <w:r>
        <w:t xml:space="preserve">The “cookbook” format is well-chosen. The consistent recipe structure (Pattern → SPL Approach → Annotated Code → Running It → Exercises) creates a reliable rhythm that readers can internalize quickly. The 37 recipes cover an impressive breadth of territory—from Hello World to a self-generating meta-recipe—and the progression from Foundations through Agentic Patterns to Multi-Agent Systems is pedagogically sound.</w:t>
      </w:r>
    </w:p>
    <w:p>
      <w:pPr>
        <w:spacing w:after="200"/>
      </w:pPr>
      <w:r>
        <w:t xml:space="preserve">That said, the manuscript needs a disciplined revision pass before it is ready for publication. The issues fall into three categories: </w:t>
      </w:r>
      <w:r>
        <w:rPr>
          <w:b/>
          <w:bCs/>
        </w:rPr>
        <w:t xml:space="preserve">structural problems</w:t>
      </w:r>
      <w:r>
        <w:t xml:space="preserve"> that affect navigation and pacing, </w:t>
      </w:r>
      <w:r>
        <w:rPr>
          <w:b/>
          <w:bCs/>
        </w:rPr>
        <w:t xml:space="preserve">voice and tone inconsistencies</w:t>
      </w:r>
      <w:r>
        <w:t xml:space="preserve"> that undermine credibility with the technical audience, and </w:t>
      </w:r>
      <w:r>
        <w:rPr>
          <w:b/>
          <w:bCs/>
        </w:rPr>
        <w:t xml:space="preserve">missing elements</w:t>
      </w:r>
      <w:r>
        <w:t xml:space="preserve"> that a competitive market will expect. None of these are fatal. All are fixable within one revision cycle.</w:t>
      </w:r>
    </w:p>
    <w:p>
      <w:pPr>
        <w:pStyle w:val="Heading1"/>
      </w:pPr>
      <w:r>
        <w:t xml:space="preserve">II. What Works Exceptionally Well</w:t>
      </w:r>
    </w:p>
    <w:p>
      <w:pPr>
        <w:pStyle w:val="Heading2"/>
      </w:pPr>
      <w:r>
        <w:t xml:space="preserve">1. The Dual-Audience Framing Is a Genuine Innovation</w:t>
      </w:r>
    </w:p>
    <w:p>
      <w:pPr>
        <w:spacing w:after="200"/>
      </w:pPr>
      <w:r>
        <w:t xml:space="preserve">Most technical books pick one audience and serve them. You have identified two audiences that are underserved by the same structural problem—the imperative complexity of existing AI frameworks—and positioned SPL as the answer for both. The SQL-professional reader gets recognition for the declarative mental model they already possess. The Global South reader gets an accessibility promise backed by concrete hardware specifications. This framing is not just marketing; it shapes every design decision in the book (benchmarking on a GTX 1080 Ti, prioritizing Ollama over cloud APIs, emphasizing adapter portability). It is the book’s greatest strategic asset.</w:t>
      </w:r>
    </w:p>
    <w:p>
      <w:pPr>
        <w:pStyle w:val="Heading2"/>
      </w:pPr>
      <w:r>
        <w:t xml:space="preserve">2. The Conductor Metaphor Is Excellent</w:t>
      </w:r>
    </w:p>
    <w:p>
      <w:pPr>
        <w:spacing w:after="200"/>
      </w:pPr>
      <w:r>
        <w:t xml:space="preserve">Human as conductor, LLMs as orchestra, SPL as the score—this metaphor carries real load. It naturally explains adapter portability (same score, different orchestra), model specialization (different instruments for different passages), and the human’s role (artistic direction, not finger-by-finger instruction). The metaphor is introduced early, deployed consistently, and never overextended. It is the kind of organizing image that readers will remember and repeat. Protect it.</w:t>
      </w:r>
    </w:p>
    <w:p>
      <w:pPr>
        <w:pStyle w:val="Heading2"/>
      </w:pPr>
      <w:r>
        <w:t xml:space="preserve">3. The Recipe Structure Is Rock-Solid</w:t>
      </w:r>
    </w:p>
    <w:p>
      <w:pPr>
        <w:spacing w:after="200"/>
      </w:pPr>
      <w:r>
        <w:t xml:space="preserve">Every recipe following the same eight-section template (Pattern, SPL Approach, Annotated .spl File, Running It, What Just Happened, Reproducibility Note, When to Use / When Not to Use, Exercises) creates a contract with the reader. They always know where they are, what to expect next, and where to find the information they need. The Reproducibility Notes are especially commendable—including latency ranges, hardware specifications, and honest variability assessments is rare in AI books and builds enormous credibility with practitioners.</w:t>
      </w:r>
    </w:p>
    <w:p>
      <w:pPr>
        <w:pStyle w:val="Heading2"/>
      </w:pPr>
      <w:r>
        <w:t xml:space="preserve">4. Chapter 1.2 Is the Best Chapter in the Book</w:t>
      </w:r>
    </w:p>
    <w:p>
      <w:pPr>
        <w:spacing w:after="200"/>
      </w:pPr>
      <w:r>
        <w:t xml:space="preserve">“Why Declarative? SQL as the Mental Model” is the chapter that will sell this book. The side-by-side comparison of 40+ lines of imperative Python versus a handful of lines of SPL is devastating in its clarity. The SQL mapping table (SELECT → context assembly, GENERATE → LLM call, WORKFLOW → stored procedure, EVALUATE → semantic WHERE clause) is the single most important page in the manuscript. It is the moment where the SQL reader says: “I already know how to think about this.” Every promotional excerpt, conference talk, and blog post should point to this chapter.</w:t>
      </w:r>
    </w:p>
    <w:p>
      <w:pPr>
        <w:pStyle w:val="Heading2"/>
      </w:pPr>
      <w:r>
        <w:t xml:space="preserve">5. The Meta-Recipe (Ch. 10.1) Is a Strong Closer</w:t>
      </w:r>
    </w:p>
    <w:p>
      <w:pPr>
        <w:spacing w:after="200"/>
      </w:pPr>
      <w:r>
        <w:t xml:space="preserve">Ending the cookbook with a recipe that generates recipes is intellectually satisfying and structurally elegant. It demonstrates that the patterns taught throughout the book are general enough to be self-referential. The “cooking as science and art” framing for what the recipe-maker can and cannot do is honest and well-calibrated. It sets up the Momagrid vision without overselling.</w:t>
      </w:r>
    </w:p>
    <w:p>
      <w:pPr>
        <w:pStyle w:val="Heading1"/>
      </w:pPr>
      <w:r>
        <w:t xml:space="preserve">III. Structural Issues Requiring Revision</w:t>
      </w:r>
    </w:p>
    <w:p>
      <w:pPr>
        <w:pStyle w:val="Heading2"/>
      </w:pPr>
      <w:r>
        <w:t xml:space="preserve">1. The Chapter Numbering Is Broken</w:t>
      </w:r>
    </w:p>
    <w:p>
      <w:pPr>
        <w:spacing w:after="200"/>
      </w:pPr>
      <w:r>
        <w:t xml:space="preserve">This is the most immediately visible problem. Self-Refine (3.0.1) and Chain of Thought (4.0.1) are numbered as subsections of their Part introductions rather than as proper chapters (3.1, 4.1). Meanwhile, Recipe numbering in the running text (“Recipe 14: Multi-Agent Collaboration”) does not match the chapter numbering (7.2). A reader trying to find “Recipe 20” will not know to look at Chapter 7.3. This needs to be resolved before publication—either adopt recipe numbers as the canonical reference </w:t>
      </w:r>
      <w:r>
        <w:rPr>
          <w:i/>
          <w:iCs/>
        </w:rPr>
        <w:t xml:space="preserve">or</w:t>
      </w:r>
      <w:r>
        <w:t xml:space="preserve"> use chapter numbers exclusively. Not both.</w:t>
      </w:r>
    </w:p>
    <w:p>
      <w:pPr>
        <w:pStyle w:val="Heading2"/>
      </w:pPr>
      <w:r>
        <w:t xml:space="preserve">2. The Preface Does Too Much Work</w:t>
      </w:r>
    </w:p>
    <w:p>
      <w:pPr>
        <w:spacing w:after="200"/>
      </w:pPr>
      <w:r>
        <w:t xml:space="preserve">Chapter 1.1 is simultaneously a preface, a manifesto, a product introduction (Momagrid), a management brief, an acknowledgments page, and a reading guide. At ~2,500 words, it asks the reader to absorb too much before they’ve seen a single line of SPL. The engineering leader section (1.1.5) is excellent but belongs in a separately titled “For Decision-Makers” sidebar or appendix. The Momagrid vision (1.1.3) should be trimmed to two paragraphs here and expanded in the final chapter where it naturally fits. The goal: get the reader to Chapter 1.2—your strongest chapter—within 90 seconds of opening the book.</w:t>
      </w:r>
    </w:p>
    <w:p>
      <w:pPr>
        <w:pStyle w:val="Heading2"/>
      </w:pPr>
      <w:r>
        <w:t xml:space="preserve">3. The Middle Chapters Sag</w:t>
      </w:r>
    </w:p>
    <w:p>
      <w:pPr>
        <w:spacing w:after="200"/>
      </w:pPr>
      <w:r>
        <w:t xml:space="preserve">Chapters 5 (Safety &amp; Reliability) and 6 (Memory &amp; Retrieval) are noticeably thinner than the surrounding material. Each contains only two recipes, and the explanatory prose does not compensate for the limited breadth. Safety in particular—given that this is a book about </w:t>
      </w:r>
      <w:r>
        <w:rPr>
          <w:i/>
          <w:iCs/>
        </w:rPr>
        <w:t xml:space="preserve">agentic</w:t>
      </w:r>
      <w:r>
        <w:t xml:space="preserve"> workflows where LLMs can call tools and write files—deserves more than a safe-generation recipe and a guardrails pipeline. Consider adding at least one recipe for: human-in-the-loop approval gates, audit logging for compliance, or cost/rate-limit controls. The Memory chapter would benefit from a conversation-with-file-context recipe (e.g., “chat over your PDF”) that would be extremely popular with readers.</w:t>
      </w:r>
    </w:p>
    <w:p>
      <w:pPr>
        <w:pStyle w:val="Heading2"/>
      </w:pPr>
      <w:r>
        <w:t xml:space="preserve">4. No Index, No Quick-Reference Card, No Glossary</w:t>
      </w:r>
    </w:p>
    <w:p>
      <w:pPr>
        <w:spacing w:after="200"/>
      </w:pPr>
      <w:r>
        <w:t xml:space="preserve">For a reference-style cookbook that readers will dip in and out of, the absence of an index is a significant omission. At minimum, the book needs: a keyword index (SPL keywords, pattern names, tool names), a one-page quick-reference card showing all SPL syntax on a single spread, and a glossary defining terms like “adapter,” “context,” “COMMIT,” “EVALUATE” for readers coming from outside the SQL world. The LaTeX toolchain you are using makes all of these straightforward to generate.</w:t>
      </w:r>
    </w:p>
    <w:p>
      <w:pPr>
        <w:pStyle w:val="Heading2"/>
      </w:pPr>
      <w:r>
        <w:t xml:space="preserve">5. The Title Page and Book Design Need Professional Treatment</w:t>
      </w:r>
    </w:p>
    <w:p>
      <w:pPr>
        <w:spacing w:after="200"/>
      </w:pPr>
      <w:r>
        <w:t xml:space="preserve">The current title page is a bare LaTeX default—title, subtitle, author, year, centered on an otherwise empty page. For a book with this level of ambition, the cover and interior design need to signal quality. The body text formatting from Pandoc/LaTeX is clean and functional, which is good, but the code listings would benefit from syntax highlighting (even monochrome shading for keywords), and the ASCII-art diagrams in the Preface and Chapter 10 should be replaced with proper figures. Small investment, large credibility gain.</w:t>
      </w:r>
    </w:p>
    <w:p>
      <w:pPr>
        <w:pStyle w:val="Heading1"/>
      </w:pPr>
      <w:r>
        <w:t xml:space="preserve">IV. Voice and Tone: Where to Tighten</w:t>
      </w:r>
    </w:p>
    <w:p>
      <w:pPr>
        <w:pStyle w:val="Heading2"/>
      </w:pPr>
      <w:r>
        <w:t xml:space="preserve">1. The Prose Occasionally Oversells</w:t>
      </w:r>
    </w:p>
    <w:p>
      <w:pPr>
        <w:spacing w:after="200"/>
      </w:pPr>
      <w:r>
        <w:t xml:space="preserve">The book is at its most credible when it is precise and restrained—the Reproducibility Notes, the “When Not to Use” sections, the honest acknowledgment that LLM output varies. It is at its least credible when it reaches for superlatives. Phrases like “exercising your right to run state-of-the-art intelligence on your own terms” and “digital sovereignty” are powerful once; repeated across multiple chapters, they start to read as advocacy rather than technical writing. The Global South framing is one of the book’s strongest features—trust the reader to feel its weight without being told how to feel. Trim the manifesto language by about 40% and the remaining instances will hit harder.</w:t>
      </w:r>
    </w:p>
    <w:p>
      <w:pPr>
        <w:pStyle w:val="Heading2"/>
      </w:pPr>
      <w:r>
        <w:t xml:space="preserve">2. The AI-Assisted Writing Shows in Places</w:t>
      </w:r>
    </w:p>
    <w:p>
      <w:pPr>
        <w:spacing w:after="200"/>
      </w:pPr>
      <w:r>
        <w:t xml:space="preserve">The book is transparent about its AI-collaborative authorship, which is admirable. However, certain passages have the telltale patterns of LLM-generated prose: the tendency to repeat a point in three different phrasings within the same paragraph, the over-use of em-dashes for dramatic pauses, and the habit of ending sections with a “cinematic” one-liner. The recipe-level technical writing is tight and precise (this is where the human hand is most evident). The introductory and transitional prose is where the AI voice surfaces. A targeted line-editing pass focused on these sections would significantly improve coherence. Rule of thumb: if a sentence restates what the previous sentence already established, cut it.</w:t>
      </w:r>
    </w:p>
    <w:p>
      <w:pPr>
        <w:pStyle w:val="Heading2"/>
      </w:pPr>
      <w:r>
        <w:t xml:space="preserve">3. The Epigraphs Need Sourcing or Removal</w:t>
      </w:r>
    </w:p>
    <w:p>
      <w:pPr>
        <w:spacing w:after="200"/>
      </w:pPr>
      <w:r>
        <w:t xml:space="preserve">Each chapter opens with an italicized quote (“Before you cook anything, you verify that the stove is on,” “The wisdom of the crowd is more reliable than the genius of the individual”). These appear to be original to the author rather than sourced quotations, but they’re formatted as if they were attributed quotes. Either attribute them explicitly (“—Wen Gong”) or remove them. Unattributed epigraphs in technical books create a false sense of authority and will irritate careful readers.</w:t>
      </w:r>
    </w:p>
    <w:p>
      <w:pPr>
        <w:pStyle w:val="Heading1"/>
      </w:pPr>
      <w:r>
        <w:t xml:space="preserve">V. Technical Observations</w:t>
      </w:r>
    </w:p>
    <w:p>
      <w:pPr>
        <w:pStyle w:val="Heading2"/>
      </w:pPr>
      <w:r>
        <w:t xml:space="preserve">1. The CALL vs. GENERATE Distinction Is the Book’s Secret Weapon</w:t>
      </w:r>
    </w:p>
    <w:p>
      <w:pPr>
        <w:spacing w:after="200"/>
      </w:pPr>
      <w:r>
        <w:t xml:space="preserve">The discipline of separating deterministic operations (CALL) from generative operations (GENERATE) is the single most valuable design principle in the book. It deserves even more emphasis. Consider adding a dedicated sidebar or mini-chapter titled something like “The CALL/GENERATE Split: The Most Important Decision in Every Recipe.” Every recipe implicitly teaches this, but making it explicit as a standalone principle would help readers internalize it faster. This is the insight that separates a reader who finishes the book from one who </w:t>
      </w:r>
      <w:r>
        <w:rPr>
          <w:i/>
          <w:iCs/>
        </w:rPr>
        <w:t xml:space="preserve">understands</w:t>
      </w:r>
      <w:r>
        <w:t xml:space="preserve"> it.</w:t>
      </w:r>
    </w:p>
    <w:p>
      <w:pPr>
        <w:pStyle w:val="Heading2"/>
      </w:pPr>
      <w:r>
        <w:t xml:space="preserve">2. The Adapter Portability Claim Needs a Proof Chapter</w:t>
      </w:r>
    </w:p>
    <w:p>
      <w:pPr>
        <w:spacing w:after="200"/>
      </w:pPr>
      <w:r>
        <w:t xml:space="preserve">The book repeatedly promises that the same .spl file runs unchanged across adapters (Ollama, Anthropic, OpenRouter, Momagrid). This is the central value proposition. Yet there is no chapter that explicitly demonstrates it by running the same recipe across three or four adapters and showing the output side-by-side. Chapter 9.1 (Model Showdown) comes close but swaps models within a single adapter rather than swapping adapters. Add a short chapter or appendix titled “One Recipe, Four Adapters” that runs a single meaningful recipe (not Hello World) across Ollama, Anthropic, and OpenRouter. Show the outputs. Show the latencies. Show what changes and what doesn’t. This is the proof that backs up the promise.</w:t>
      </w:r>
    </w:p>
    <w:p>
      <w:pPr>
        <w:pStyle w:val="Heading2"/>
      </w:pPr>
      <w:r>
        <w:t xml:space="preserve">3. Error Handling Coverage Is Thin</w:t>
      </w:r>
    </w:p>
    <w:p>
      <w:pPr>
        <w:spacing w:after="200"/>
      </w:pPr>
      <w:r>
        <w:t xml:space="preserve">The EXCEPTION block is mentioned in the Hello World execution trace (“No exception handlers were evaluated”) and appears in the recipe-maker, but there is no dedicated recipe that teaches error handling as a first-class topic. What happens when the model returns malformed JSON in a structured-output recipe? What happens when a CALL to a Python tool throws an exception? What happens when the Ollama server is unreachable mid-workflow? Practitioners will hit all of these within their first week. A “When Things Go Wrong” recipe in the Safety chapter would be extremely valuable.</w:t>
      </w:r>
    </w:p>
    <w:p>
      <w:pPr>
        <w:pStyle w:val="Heading1"/>
      </w:pPr>
      <w:r>
        <w:t xml:space="preserve">VI. Market Positioning and Competitive Landscape</w:t>
      </w:r>
    </w:p>
    <w:p>
      <w:pPr>
        <w:spacing w:after="200"/>
      </w:pPr>
      <w:r>
        <w:t xml:space="preserve">The book’s closest competitors are the O’Reilly titles on LangChain and AI agents (Harrison Chase et al.), the growing body of “prompt engineering” books, and the official documentation for LangGraph, CrewAI, and AutoGen. Your book’s distinctive advantages are the declarative paradigm (no competitor occupies this niche), the accessibility-first hardware floor (no competitor benchmarks on commodity GPUs), and the SQL-practitioner audience (no competitor targets them).</w:t>
      </w:r>
    </w:p>
    <w:p>
      <w:pPr>
        <w:spacing w:after="200"/>
      </w:pPr>
      <w:r>
        <w:t xml:space="preserve">However, the book carries a significant market risk: </w:t>
      </w:r>
      <w:r>
        <w:rPr>
          <w:b/>
          <w:bCs/>
        </w:rPr>
        <w:t xml:space="preserve">SPL is not yet widely adopted.</w:t>
      </w:r>
      <w:r>
        <w:t xml:space="preserve"> A reader investing time in learning SPL is making a bet on the language’s future. The book needs to address this directly. Consider adding a section in the closing chapter that honestly discusses: the current state of the SPL ecosystem (users, contributors, production deployments), the roadmap for SPL 2.0, and the migration path if a reader’s team decides to move to a different orchestration tool. Addressing the adoption question head-on will build more trust than avoiding it.</w:t>
      </w:r>
    </w:p>
    <w:p>
      <w:pPr>
        <w:pStyle w:val="Heading1"/>
      </w:pPr>
      <w:r>
        <w:t xml:space="preserve">VII. Priority Action Items for v0.2</w:t>
      </w:r>
    </w:p>
    <w:p>
      <w:pPr>
        <w:spacing w:after="100"/>
      </w:pPr>
      <w:r>
        <w:rPr>
          <w:i/>
          <w:iCs/>
          <w:color w:val="666666"/>
        </w:rPr>
        <w:t xml:space="preserve">Ranked by impact on publication readiness:</w:t>
      </w:r>
    </w:p>
    <w:p>
      <w:pPr>
        <w:pStyle w:val="ListParagraph"/>
        <w:numPr>
          <w:ilvl w:val="0"/>
          <w:numId w:val="2"/>
        </w:numPr>
        <w:spacing w:after="140"/>
      </w:pPr>
      <w:r>
        <w:rPr>
          <w:b/>
          <w:bCs/>
        </w:rPr>
        <w:t xml:space="preserve">Fix the chapter/recipe numbering system.</w:t>
      </w:r>
      <w:r>
        <w:t xml:space="preserve"> Choose one canonical scheme and apply it consistently throughout. This is a day’s work that eliminates the most visible structural flaw.</w:t>
      </w:r>
    </w:p>
    <w:p>
      <w:pPr>
        <w:pStyle w:val="ListParagraph"/>
        <w:numPr>
          <w:ilvl w:val="0"/>
          <w:numId w:val="2"/>
        </w:numPr>
        <w:spacing w:after="140"/>
      </w:pPr>
      <w:r>
        <w:rPr>
          <w:b/>
          <w:bCs/>
        </w:rPr>
        <w:t xml:space="preserve">Trim the Preface by 40%.</w:t>
      </w:r>
      <w:r>
        <w:t xml:space="preserve"> Move the engineering-leader section and the Momagrid deep-dive out of Chapter 1.1. Get the reader to Chapter 1.2 faster.</w:t>
      </w:r>
    </w:p>
    <w:p>
      <w:pPr>
        <w:pStyle w:val="ListParagraph"/>
        <w:numPr>
          <w:ilvl w:val="0"/>
          <w:numId w:val="2"/>
        </w:numPr>
        <w:spacing w:after="140"/>
      </w:pPr>
      <w:r>
        <w:rPr>
          <w:b/>
          <w:bCs/>
        </w:rPr>
        <w:t xml:space="preserve">Add an index, glossary, and SPL quick-reference card.</w:t>
      </w:r>
      <w:r>
        <w:t xml:space="preserve"> Non-negotiable for a reference-style cookbook. The LaTeX toolchain makes this painless.</w:t>
      </w:r>
    </w:p>
    <w:p>
      <w:pPr>
        <w:pStyle w:val="ListParagraph"/>
        <w:numPr>
          <w:ilvl w:val="0"/>
          <w:numId w:val="2"/>
        </w:numPr>
        <w:spacing w:after="140"/>
      </w:pPr>
      <w:r>
        <w:rPr>
          <w:b/>
          <w:bCs/>
        </w:rPr>
        <w:t xml:space="preserve">Expand Chapters 5 and 6.</w:t>
      </w:r>
      <w:r>
        <w:t xml:space="preserve"> Add at least one recipe each: a human-in-the-loop safety gate and a document-grounded conversation. These are the recipes readers will search for first.</w:t>
      </w:r>
    </w:p>
    <w:p>
      <w:pPr>
        <w:pStyle w:val="ListParagraph"/>
        <w:numPr>
          <w:ilvl w:val="0"/>
          <w:numId w:val="2"/>
        </w:numPr>
        <w:spacing w:after="140"/>
      </w:pPr>
      <w:r>
        <w:rPr>
          <w:b/>
          <w:bCs/>
        </w:rPr>
        <w:t xml:space="preserve">Add a “One Recipe, Four Adapters” proof chapter.</w:t>
      </w:r>
      <w:r>
        <w:t xml:space="preserve"> Deliver the adapter-portability promise with evidence, not assertion.</w:t>
      </w:r>
    </w:p>
    <w:p>
      <w:pPr>
        <w:pStyle w:val="ListParagraph"/>
        <w:numPr>
          <w:ilvl w:val="0"/>
          <w:numId w:val="2"/>
        </w:numPr>
        <w:spacing w:after="140"/>
      </w:pPr>
      <w:r>
        <w:rPr>
          <w:b/>
          <w:bCs/>
        </w:rPr>
        <w:t xml:space="preserve">Line-edit the introductory and transitional prose.</w:t>
      </w:r>
      <w:r>
        <w:t xml:space="preserve"> Target the AI-voice passages: redundant restatements, dramatic one-liners, manifesto repetition. The technical recipe prose is your standard—bring the rest up to it.</w:t>
      </w:r>
    </w:p>
    <w:p>
      <w:pPr>
        <w:pStyle w:val="ListParagraph"/>
        <w:numPr>
          <w:ilvl w:val="0"/>
          <w:numId w:val="2"/>
        </w:numPr>
        <w:spacing w:after="140"/>
      </w:pPr>
      <w:r>
        <w:rPr>
          <w:b/>
          <w:bCs/>
        </w:rPr>
        <w:t xml:space="preserve">Commission professional book design.</w:t>
      </w:r>
      <w:r>
        <w:t xml:space="preserve"> Title page, chapter openers, syntax-highlighted code listings, and proper figures to replace ASCII art. The content deserves a container that matches its quality.</w:t>
      </w:r>
    </w:p>
    <w:p>
      <w:pPr>
        <w:pStyle w:val="ListParagraph"/>
        <w:numPr>
          <w:ilvl w:val="0"/>
          <w:numId w:val="2"/>
        </w:numPr>
        <w:spacing w:after="140"/>
      </w:pPr>
      <w:r>
        <w:rPr>
          <w:b/>
          <w:bCs/>
        </w:rPr>
        <w:t xml:space="preserve">Address the adoption question.</w:t>
      </w:r>
      <w:r>
        <w:t xml:space="preserve"> Add an honest discussion of SPL’s current ecosystem, roadmap, and what happens if the reader’s team chooses differently.</w:t>
      </w:r>
    </w:p>
    <w:p>
      <w:pPr>
        <w:pBdr>
          <w:bottom w:val="single" w:color="CCCCCC" w:sz="3" w:space="8"/>
        </w:pBdr>
        <w:spacing w:before="300" w:after="200"/>
      </w:pPr>
    </w:p>
    <w:p>
      <w:pPr>
        <w:pStyle w:val="Heading1"/>
      </w:pPr>
      <w:r>
        <w:t xml:space="preserve">VIII. Final Remarks</w:t>
      </w:r>
    </w:p>
    <w:p>
      <w:pPr>
        <w:spacing w:after="200"/>
      </w:pPr>
      <w:r>
        <w:t xml:space="preserve">Wen, I want to end where I began: this is a strong foundation. The book has a clear thesis, a distinctive market position, a well-designed pedagogical structure, and a body of technical content that demonstrates genuine expertise. The conductor metaphor gives it a memorable identity. The Global South commitment gives it a soul.</w:t>
      </w:r>
    </w:p>
    <w:p>
      <w:pPr>
        <w:spacing w:after="200"/>
      </w:pPr>
      <w:r>
        <w:t xml:space="preserve">The revisions I’ve outlined are about discipline, not direction. You do not need to rethink the book. You need to tighten it: fix the numbering, trim the advocacy, fill the gaps in safety and error handling, and invest in the production quality that will signal to bookshop browsers and conference attendees that this is a serious technical work, not a side project.</w:t>
      </w:r>
    </w:p>
    <w:p>
      <w:pPr>
        <w:spacing w:after="200"/>
      </w:pPr>
      <w:r>
        <w:t xml:space="preserve">The line from your preface stays with me: </w:t>
      </w:r>
      <w:r>
        <w:rPr>
          <w:i/>
          <w:iCs/>
        </w:rPr>
        <w:t xml:space="preserve">“Every human can conduct their own symphony.”</w:t>
      </w:r>
      <w:r>
        <w:t xml:space="preserve"> That is a vision worth publishing well. I look forward to reviewing v0.2.</w:t>
      </w:r>
    </w:p>
    <w:p>
      <w:pPr>
        <w:spacing w:before="300"/>
      </w:pPr>
      <w:r>
        <w:rPr>
          <w:i/>
          <w:iCs/>
        </w:rPr>
        <w:t xml:space="preserve">Warm regards,</w:t>
      </w:r>
    </w:p>
    <w:p>
      <w:pPr>
        <w:spacing w:after="40"/>
      </w:pPr>
      <w:r>
        <w:rPr>
          <w:i/>
          <w:iCs/>
        </w:rPr>
        <w:t xml:space="preserve">The Senior Editor</w:t>
      </w:r>
    </w:p>
    <w:p>
      <w:r>
        <w:rPr>
          <w:i/>
          <w:iCs/>
          <w:color w:val="888888"/>
        </w:rPr>
        <w:t xml:space="preserve">Technical Publishing Division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5E8E"/>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2026-03-22T21:28:34.666Z</dcterms:created>
  <dcterms:modified xsi:type="dcterms:W3CDTF">2026-03-22T21:28:34.667Z</dcterms:modified>
</cp:coreProperties>
</file>

<file path=docProps/custom.xml><?xml version="1.0" encoding="utf-8"?>
<Properties xmlns="http://schemas.openxmlformats.org/officeDocument/2006/custom-properties" xmlns:vt="http://schemas.openxmlformats.org/officeDocument/2006/docPropsVTypes"/>
</file>