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C38C7" w:rsidR="00180961" w:rsidP="00611C11" w:rsidRDefault="00F232A7" w14:paraId="00000001" w14:textId="6D639D0A">
      <w:pPr>
        <w:pStyle w:val="Heading1"/>
      </w:pPr>
      <w:bookmarkStart w:name="_Toc48639293" w:id="0"/>
      <w:r w:rsidRPr="00695B5B">
        <w:t>Introduction</w:t>
      </w:r>
      <w:bookmarkEnd w:id="0"/>
    </w:p>
    <w:p w:rsidRPr="00695B5B" w:rsidR="00180961" w:rsidP="00885069" w:rsidRDefault="00180961" w14:paraId="00000002" w14:textId="77777777">
      <w:pPr>
        <w:spacing w:line="360" w:lineRule="auto"/>
        <w:jc w:val="both"/>
      </w:pPr>
    </w:p>
    <w:p w:rsidR="00885069" w:rsidP="00885069" w:rsidRDefault="00885069" w14:paraId="43432291" w14:textId="77777777">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rsidR="00885069" w:rsidP="00885069" w:rsidRDefault="00885069" w14:paraId="54DD021E" w14:textId="77777777">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rsidR="00885069" w:rsidP="00885069" w:rsidRDefault="00885069" w14:paraId="4F8942A5" w14:textId="77777777">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rsidR="00885069" w:rsidP="00885069" w:rsidRDefault="00885069" w14:paraId="37772C13" w14:textId="29FFE42C">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rsidR="00885069" w:rsidP="00885069" w:rsidRDefault="00885069" w14:paraId="1D2EC50A" w14:textId="6123805A">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t>on their implications, we can expand the boundaries of our discipline and open new pathways for historiographical inquiry.</w:t>
      </w:r>
    </w:p>
    <w:p w:rsidRPr="00695B5B" w:rsidR="00180961" w:rsidP="00885069" w:rsidRDefault="00885069" w14:paraId="00000003" w14:textId="2649CADB">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rsidRPr="00695B5B" w:rsidR="00180961" w:rsidP="005B17C8" w:rsidRDefault="005B17C8" w14:paraId="00000005" w14:textId="26252C93">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w:history="1" r:id="rId8">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rsidRPr="00B26909" w:rsidR="00B26909" w:rsidP="00B26909" w:rsidRDefault="00B26909" w14:paraId="0C8CBE43" w14:textId="4BE7E8C4">
      <w:pPr>
        <w:spacing w:line="360" w:lineRule="auto"/>
        <w:ind w:firstLine="720"/>
        <w:jc w:val="both"/>
        <w:rPr>
          <w:rFonts w:ascii="Times New Roman" w:hAnsi="Times New Roman" w:eastAsia="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Pr="00B26909" w:rsidR="0003283C">
        <w:rPr>
          <w:rFonts w:eastAsia="Times New Roman"/>
          <w:color w:val="000000"/>
          <w:lang w:val="en-US"/>
        </w:rPr>
        <w:t>considering</w:t>
      </w:r>
      <w:r w:rsidRPr="00B26909">
        <w:rPr>
          <w:rFonts w:eastAsia="Times New Roman"/>
          <w:color w:val="000000"/>
          <w:lang w:val="en-US"/>
        </w:rPr>
        <w:t xml:space="preserve"> the (new) technologies of memory at play.</w:t>
      </w:r>
    </w:p>
    <w:p w:rsidRPr="00695B5B" w:rsidR="003030DC" w:rsidP="003030DC" w:rsidRDefault="003030DC" w14:paraId="6247FD63" w14:textId="797D6A40">
      <w:pPr>
        <w:spacing w:line="360" w:lineRule="auto"/>
        <w:ind w:firstLine="720"/>
        <w:jc w:val="both"/>
      </w:pPr>
      <w:r w:rsidRPr="00695B5B">
        <w:t>Ultimately</w:t>
      </w:r>
      <w:r w:rsidRPr="00695B5B" w:rsidR="00F232A7">
        <w:t>, the doctoral thesis originated from this experimental study completes its research cycle being publish</w:t>
      </w:r>
      <w:r w:rsidR="00EF5BFB">
        <w:t>ed in a digital</w:t>
      </w:r>
      <w:r w:rsidRPr="00695B5B" w:rsidR="00F232A7">
        <w:t xml:space="preserve"> </w:t>
      </w:r>
      <w:r w:rsidR="00EF5BFB">
        <w:t xml:space="preserve">scholarly </w:t>
      </w:r>
      <w:r w:rsidRPr="00695B5B" w:rsidR="00F232A7">
        <w:t>platform</w:t>
      </w:r>
      <w:r w:rsidRPr="00D25CCE" w:rsidR="00F232A7">
        <w:rPr>
          <w:rStyle w:val="FootnoteReference"/>
          <w:sz w:val="20"/>
          <w:szCs w:val="20"/>
        </w:rPr>
        <w:footnoteReference w:id="1"/>
      </w:r>
      <w:r w:rsidRPr="00695B5B" w:rsidR="00EE0954">
        <w:t xml:space="preserve">. </w:t>
      </w:r>
      <w:r w:rsidR="00EF5BFB">
        <w:t>M</w:t>
      </w:r>
      <w:r w:rsidRPr="00695B5B">
        <w:t>aking available this sort of enhanced publication</w:t>
      </w:r>
      <w:r w:rsidR="00BC3CEF">
        <w:t xml:space="preserve"> </w:t>
      </w:r>
      <w:r w:rsidRPr="00695B5B" w:rsidR="00BC3CEF">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rsidR="001A6E22" w:rsidP="0022374E" w:rsidRDefault="001A6E22" w14:paraId="675F3E1D" w14:textId="209D9038">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Pr="00695B5B" w:rsidR="00377E5D">
        <w:t>most of the meta-reflections on digital methods</w:t>
      </w:r>
      <w:r w:rsidRPr="00695B5B">
        <w:t xml:space="preserve"> </w:t>
      </w:r>
      <w:r w:rsidRPr="00695B5B" w:rsidR="00377E5D">
        <w:t>may resonate with interest to historians working elsewhere and on different topics and time cohorts.</w:t>
      </w:r>
      <w:r w:rsidRPr="00695B5B">
        <w:t xml:space="preserve"> </w:t>
      </w:r>
      <w:r w:rsidR="009F3977">
        <w:t xml:space="preserve"> </w:t>
      </w:r>
      <w:r w:rsidRPr="00695B5B" w:rsidR="00377E5D">
        <w:t>It is</w:t>
      </w:r>
      <w:r w:rsidR="00EF5BFB">
        <w:t xml:space="preserve"> an</w:t>
      </w:r>
      <w:r w:rsidRPr="00695B5B" w:rsidR="00377E5D">
        <w:t xml:space="preserve"> invitation to reflect productively on the challenges brought by </w:t>
      </w:r>
      <w:r w:rsidRPr="00695B5B">
        <w:t>the</w:t>
      </w:r>
      <w:r w:rsidRPr="00695B5B" w:rsidR="00377E5D">
        <w:t xml:space="preserve"> digital turn and try to learn something valuable about this time of</w:t>
      </w:r>
      <w:r w:rsidRPr="00695B5B">
        <w:t xml:space="preserve"> transition from </w:t>
      </w:r>
      <w:r w:rsidRPr="00695B5B" w:rsidR="00377E5D">
        <w:t xml:space="preserve">the </w:t>
      </w:r>
      <w:r w:rsidRPr="00695B5B">
        <w:t xml:space="preserve">analogue to </w:t>
      </w:r>
      <w:r w:rsidRPr="00695B5B" w:rsidR="00377E5D">
        <w:t xml:space="preserve">the </w:t>
      </w:r>
      <w:r w:rsidRPr="00695B5B">
        <w:t>digital</w:t>
      </w:r>
      <w:r w:rsidRPr="00695B5B" w:rsidR="00377E5D">
        <w:t xml:space="preserve">: when dealing with the unknown, we have to follow our intuition, based on </w:t>
      </w:r>
      <w:r w:rsidRPr="00695B5B" w:rsidR="00D15F95">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Pr="00695B5B" w:rsidR="00D15F95">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Pr="00695B5B" w:rsidR="00D15F95">
        <w:rPr>
          <w:b/>
        </w:rPr>
        <w:t xml:space="preserve">emergence of a new style of </w:t>
      </w:r>
      <w:r w:rsidRPr="00695B5B" w:rsidR="0022374E">
        <w:rPr>
          <w:b/>
        </w:rPr>
        <w:t>reasoning</w:t>
      </w:r>
      <w:r w:rsidRPr="00695B5B" w:rsidR="00D15F95">
        <w:t xml:space="preserve">, based on the </w:t>
      </w:r>
      <w:r w:rsidRPr="00695B5B" w:rsidR="00D15F95">
        <w:rPr>
          <w:b/>
        </w:rPr>
        <w:t>hybridisation</w:t>
      </w:r>
      <w:r w:rsidRPr="00695B5B" w:rsidR="00D15F95">
        <w:t xml:space="preserve"> of our old and new (yet to be acquired) skills and capacities to deal with the digital interferences in historical research.</w:t>
      </w:r>
      <w:r w:rsidRPr="00695B5B" w:rsidR="0022374E">
        <w:t xml:space="preserve"> A possible way to this new style of reasoning, as I will demonstrate, is t</w:t>
      </w:r>
      <w:r w:rsidR="001D118D">
        <w:t>hrough</w:t>
      </w:r>
      <w:r w:rsidRPr="00695B5B" w:rsidR="0022374E">
        <w:t xml:space="preserve"> </w:t>
      </w:r>
      <w:r w:rsidRPr="00695B5B" w:rsidR="0022374E">
        <w:rPr>
          <w:b/>
        </w:rPr>
        <w:t>hermeneutics of practice</w:t>
      </w:r>
      <w:r w:rsidRPr="00695B5B" w:rsidR="0022374E">
        <w:t xml:space="preserve">, a critical instance toward the whole historiographical operation, deeply rooted in experimental approach, ultimately reconciling the </w:t>
      </w:r>
      <w:r w:rsidRPr="00695B5B" w:rsidR="0022374E">
        <w:rPr>
          <w:i/>
        </w:rPr>
        <w:t>hack</w:t>
      </w:r>
      <w:r w:rsidRPr="00695B5B" w:rsidR="0022374E">
        <w:t xml:space="preserve"> &amp; </w:t>
      </w:r>
      <w:r w:rsidRPr="00695B5B" w:rsidR="0022374E">
        <w:rPr>
          <w:i/>
        </w:rPr>
        <w:t xml:space="preserve">yack </w:t>
      </w:r>
      <w:r w:rsidRPr="00695B5B" w:rsidR="0022374E">
        <w:t>dimensions paradoxically (still) split among most digital humanists and historians.</w:t>
      </w:r>
    </w:p>
    <w:p w:rsidRPr="007E6DB5" w:rsidR="007E6DB5" w:rsidP="007E6DB5" w:rsidRDefault="000F076E" w14:paraId="02D8264D" w14:textId="7F1AD115">
      <w:pPr>
        <w:pBdr>
          <w:top w:val="nil"/>
          <w:left w:val="nil"/>
          <w:bottom w:val="nil"/>
          <w:right w:val="nil"/>
          <w:between w:val="nil"/>
        </w:pBdr>
        <w:spacing w:line="360" w:lineRule="auto"/>
        <w:ind w:firstLine="720"/>
        <w:contextualSpacing/>
        <w:jc w:val="both"/>
      </w:pPr>
      <w:r>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Pr="007E6DB5" w:rsidR="007E6DB5">
        <w:t xml:space="preserve">So is </w:t>
      </w:r>
      <w:r w:rsidRPr="007E6DB5" w:rsidR="007E6DB5">
        <w:rPr>
          <w:i/>
          <w:color w:val="000000"/>
        </w:rPr>
        <w:t xml:space="preserve">raison d'être </w:t>
      </w:r>
      <w:r w:rsidRPr="007E6DB5" w:rsidR="007E6DB5">
        <w:rPr>
          <w:color w:val="000000"/>
        </w:rPr>
        <w:t xml:space="preserve">of this thesis. </w:t>
      </w:r>
      <w:r w:rsidR="007E6DB5">
        <w:rPr>
          <w:color w:val="000000"/>
        </w:rPr>
        <w:t xml:space="preserve"> </w:t>
      </w:r>
    </w:p>
    <w:p w:rsidRPr="007E6DB5" w:rsidR="000F076E" w:rsidP="007E6DB5" w:rsidRDefault="000F076E" w14:paraId="405827DC" w14:textId="494668AC">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Pr="008A384D" w:rsidR="0003283C">
        <w:t>contributing</w:t>
      </w:r>
      <w:r w:rsidRPr="008A384D">
        <w:t xml:space="preserve"> to the insertion of digital public history in wider (analogue) academic debates. If the participatory design and the strategies used to generate </w:t>
      </w:r>
      <w:r w:rsidRPr="008A384D" w:rsidR="0003283C">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rsidRPr="00695B5B" w:rsidR="000F076E" w:rsidP="0022374E" w:rsidRDefault="000F076E" w14:paraId="6470762D" w14:textId="77777777">
      <w:pPr>
        <w:spacing w:line="360" w:lineRule="auto"/>
        <w:ind w:firstLine="720"/>
        <w:jc w:val="both"/>
      </w:pPr>
    </w:p>
    <w:p w:rsidRPr="00695B5B" w:rsidR="003030DC" w:rsidP="003030DC" w:rsidRDefault="003030DC" w14:paraId="24072290" w14:textId="724934B4">
      <w:pPr>
        <w:pStyle w:val="Heading2"/>
      </w:pPr>
      <w:bookmarkStart w:name="_Toc48639294" w:id="1"/>
      <w:r w:rsidRPr="00695B5B">
        <w:t>Thesis structure</w:t>
      </w:r>
      <w:bookmarkEnd w:id="1"/>
    </w:p>
    <w:p w:rsidRPr="00695B5B" w:rsidR="003030DC" w:rsidP="003030DC" w:rsidRDefault="003030DC" w14:paraId="7D77D0C7" w14:textId="78915801"/>
    <w:p w:rsidRPr="00695B5B" w:rsidR="003030DC" w:rsidP="003876D0" w:rsidRDefault="003030DC" w14:paraId="7AEA05FC" w14:textId="341189BA">
      <w:pPr>
        <w:spacing w:line="360" w:lineRule="auto"/>
        <w:jc w:val="both"/>
      </w:pPr>
      <w:r w:rsidRPr="00695B5B">
        <w:tab/>
      </w:r>
      <w:r w:rsidRPr="00695B5B">
        <w:t xml:space="preserve">The thesis was conceived as a journey through the realisation of this experiment and </w:t>
      </w:r>
      <w:r w:rsidRPr="00695B5B" w:rsidR="003876D0">
        <w:t>as such it is divided in four chapters</w:t>
      </w:r>
      <w:r w:rsidRPr="00695B5B" w:rsidR="00FA74A7">
        <w:t xml:space="preserve">, each of them laden with self-reflexivity and insights from the experimentation envisioned, but </w:t>
      </w:r>
      <w:r w:rsidR="00FE7A3A">
        <w:t xml:space="preserve">with </w:t>
      </w:r>
      <w:r w:rsidRPr="00695B5B" w:rsidR="00FA74A7">
        <w:t>different emphasis</w:t>
      </w:r>
      <w:r w:rsidRPr="00695B5B" w:rsidR="003876D0">
        <w:t xml:space="preserve">. </w:t>
      </w:r>
      <w:r w:rsidRPr="00695B5B" w:rsidR="00FA74A7">
        <w:t xml:space="preserve">To </w:t>
      </w:r>
      <w:r w:rsidRPr="00695B5B" w:rsidR="003876D0">
        <w:t xml:space="preserve">allow a thorough reflection on practices and better explore their dialogic relation with theoretical assumptions and the subjectivity of the researcher positioning, </w:t>
      </w:r>
      <w:r w:rsidRPr="00695B5B" w:rsidR="00FA74A7">
        <w:t>the ensemble</w:t>
      </w:r>
      <w:r w:rsidRPr="00695B5B" w:rsidR="003876D0">
        <w:t xml:space="preserve"> </w:t>
      </w:r>
      <w:r w:rsidRPr="00695B5B" w:rsidR="00FA74A7">
        <w:t xml:space="preserve">of the </w:t>
      </w:r>
      <w:r w:rsidRPr="00695B5B" w:rsidR="003876D0">
        <w:t>chapters offer detailed description on decision making processes throughout the experiment and articulate methods and theory. Nevertheless, for readabilit</w:t>
      </w:r>
      <w:r w:rsidRPr="00695B5B" w:rsidR="000E763F">
        <w:t>y and clarity of structure</w:t>
      </w:r>
      <w:r w:rsidRPr="00695B5B" w:rsidR="003876D0">
        <w:t xml:space="preserve">, </w:t>
      </w:r>
      <w:r w:rsidRPr="00695B5B" w:rsidR="000E763F">
        <w:t xml:space="preserve">each </w:t>
      </w:r>
      <w:r w:rsidRPr="00695B5B" w:rsidR="003876D0">
        <w:t>chapter w</w:t>
      </w:r>
      <w:r w:rsidRPr="00695B5B" w:rsidR="000E763F">
        <w:t>as</w:t>
      </w:r>
      <w:r w:rsidRPr="00695B5B" w:rsidR="003876D0">
        <w:t xml:space="preserve"> organised to convey different chunks of the research: </w:t>
      </w:r>
      <w:r w:rsidRPr="00695B5B" w:rsidR="000E763F">
        <w:t xml:space="preserve">1. </w:t>
      </w:r>
      <w:r w:rsidRPr="00695B5B" w:rsidR="00FA74A7">
        <w:t xml:space="preserve">theoretical framework and researcher positioning; </w:t>
      </w:r>
      <w:r w:rsidRPr="00695B5B" w:rsidR="000E763F">
        <w:t xml:space="preserve">2. </w:t>
      </w:r>
      <w:r w:rsidRPr="00695B5B" w:rsidR="00FA74A7">
        <w:t xml:space="preserve">detailed presentation of the case study, including a step by step description of all stages from conceptualisation to activation of the crowdsourcing campaign online; </w:t>
      </w:r>
      <w:r w:rsidRPr="00695B5B" w:rsidR="000E763F">
        <w:t xml:space="preserve">3. </w:t>
      </w:r>
      <w:r w:rsidRPr="00695B5B" w:rsidR="00BB55DE">
        <w:t xml:space="preserve">analysis of digital methods, interpolated by valuable lessons and insights from the </w:t>
      </w:r>
      <w:r w:rsidRPr="00695B5B" w:rsidR="00BB55DE">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history="1" w:anchor="_Chapter_1:_Framework:">
        <w:r w:rsidRPr="00C8633B" w:rsidR="00EF5BF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Pr="00695B5B" w:rsidR="00BB55DE">
        <w:t xml:space="preserve"> </w:t>
      </w:r>
      <w:r w:rsidR="00800411">
        <w:t xml:space="preserve">Since this thesis braids up theory and methods all the way through, it was instrumental to juxtapose the arguments with an informed literature review. </w:t>
      </w:r>
      <w:r w:rsidRPr="00695B5B" w:rsidR="00FE0288">
        <w:t>Hereunder, a brief description of each chapter in more detail:</w:t>
      </w:r>
    </w:p>
    <w:p w:rsidRPr="00800411" w:rsidR="00FE0288" w:rsidP="003876D0" w:rsidRDefault="00FE0288" w14:paraId="50146780" w14:textId="2F740478">
      <w:pPr>
        <w:spacing w:line="360" w:lineRule="auto"/>
        <w:jc w:val="both"/>
        <w:rPr>
          <w:lang w:val="en-US"/>
        </w:rPr>
      </w:pPr>
      <w:r w:rsidRPr="00695B5B">
        <w:tab/>
      </w:r>
      <w:hyperlink w:history="1" w:anchor="_Chapter_1:_Framework:">
        <w:r w:rsidRPr="00C8633B">
          <w:rPr>
            <w:rStyle w:val="Hyperlink"/>
            <w:b/>
          </w:rPr>
          <w:t>Chapter 1, Framework: Theory and Working Concepts</w:t>
        </w:r>
      </w:hyperlink>
      <w:r w:rsidRPr="00695B5B">
        <w:t xml:space="preserve"> </w:t>
      </w:r>
      <w:r w:rsidRPr="00695B5B" w:rsidR="005E73C6">
        <w:t xml:space="preserve">gives important intel </w:t>
      </w:r>
      <w:r w:rsidR="00FE7A3A">
        <w:t xml:space="preserve">on </w:t>
      </w:r>
      <w:r w:rsidRPr="00695B5B" w:rsidR="005E73C6">
        <w:t>how I am equipped to the journey pretended in this doctoral research. In this chapter, I i</w:t>
      </w:r>
      <w:r w:rsidRPr="00695B5B">
        <w:t>ntroduce</w:t>
      </w:r>
      <w:r w:rsidRPr="00695B5B" w:rsidR="005E73C6">
        <w:t xml:space="preserve"> </w:t>
      </w:r>
      <w:r w:rsidRPr="00695B5B">
        <w:t>the context in which this research emerge</w:t>
      </w:r>
      <w:r w:rsidR="00FE7A3A">
        <w:t>s</w:t>
      </w:r>
      <w:r w:rsidRPr="00695B5B" w:rsidR="005E73C6">
        <w:t xml:space="preserve"> – </w:t>
      </w:r>
      <w:r w:rsidRPr="00695B5B" w:rsidR="006F4780">
        <w:t xml:space="preserve">or </w:t>
      </w:r>
      <w:r w:rsidRPr="00695B5B" w:rsidR="006F4780">
        <w:rPr>
          <w:i/>
        </w:rPr>
        <w:t>from where I stand</w:t>
      </w:r>
      <w:r w:rsidRPr="00695B5B" w:rsidR="006F4780">
        <w:t xml:space="preserve"> – describing by positioning as a PhD researcher at the University of Luxembourg from 2015-2020 and presenting the sta</w:t>
      </w:r>
      <w:r w:rsidR="00FE7A3A">
        <w:t>te</w:t>
      </w:r>
      <w:r w:rsidRPr="00695B5B" w:rsidR="006F4780">
        <w:t xml:space="preserve"> of the art that </w:t>
      </w:r>
      <w:r w:rsidRPr="00695B5B" w:rsidR="0003283C">
        <w:t>precedes this</w:t>
      </w:r>
      <w:r w:rsidRPr="00695B5B" w:rsidR="006F4780">
        <w:t xml:space="preserve"> research. In dialogue with Michel de </w:t>
      </w:r>
      <w:proofErr w:type="spellStart"/>
      <w:r w:rsidRPr="00695B5B" w:rsidR="006F4780">
        <w:t>Certeau</w:t>
      </w:r>
      <w:proofErr w:type="spellEnd"/>
      <w:r w:rsidRPr="00695B5B" w:rsidR="006F4780">
        <w:t>, for whom “</w:t>
      </w:r>
      <w:r w:rsidRPr="00695B5B" w:rsidR="006F4780">
        <w:rPr>
          <w:color w:val="000000"/>
        </w:rPr>
        <w:t>[a]</w:t>
      </w:r>
      <w:proofErr w:type="spellStart"/>
      <w:r w:rsidRPr="00695B5B" w:rsidR="006F4780">
        <w:rPr>
          <w:color w:val="000000"/>
        </w:rPr>
        <w:t>ll</w:t>
      </w:r>
      <w:proofErr w:type="spellEnd"/>
      <w:r w:rsidRPr="00695B5B" w:rsidR="006F4780">
        <w:rPr>
          <w:color w:val="000000"/>
        </w:rPr>
        <w:t xml:space="preserve"> historiographical research is articulated over a socioeconomic, political, and cultural place of production” I give special attention to the research environment of the Luxembourg Centre for Contemporary and Digital </w:t>
      </w:r>
      <w:r w:rsidRPr="00695B5B" w:rsidR="006F4780">
        <w:t xml:space="preserve">History (C²DH) as the </w:t>
      </w:r>
      <w:r w:rsidRPr="00695B5B" w:rsidR="006F4780">
        <w:rPr>
          <w:i/>
        </w:rPr>
        <w:t>laboratory of historical uncertainty</w:t>
      </w:r>
      <w:r w:rsidRPr="00695B5B" w:rsidR="006F4780">
        <w:t xml:space="preserve"> in which my </w:t>
      </w:r>
      <w:r w:rsidRPr="00695B5B" w:rsidR="00411741">
        <w:t xml:space="preserve">experiment is embedded. </w:t>
      </w:r>
      <w:r w:rsidR="00FE7A3A">
        <w:t>Next,</w:t>
      </w:r>
      <w:r w:rsidRPr="00695B5B" w:rsidR="00411741">
        <w:t xml:space="preserve"> </w:t>
      </w:r>
      <w:r w:rsidR="00FE7A3A">
        <w:t>an overview of what means doing digital in the digital age</w:t>
      </w:r>
      <w:r w:rsidRPr="00695B5B" w:rsidR="006F4780">
        <w:t xml:space="preserve"> </w:t>
      </w:r>
      <w:r w:rsidR="00FE7A3A">
        <w:t>is</w:t>
      </w:r>
      <w:r w:rsidRPr="00695B5B" w:rsidR="006F4780">
        <w:t xml:space="preserve"> introduced</w:t>
      </w:r>
      <w:r w:rsidR="00800411">
        <w:t xml:space="preserve">, </w:t>
      </w:r>
      <w:r w:rsidRPr="00800411" w:rsidR="00800411">
        <w:t>in a discussion that will be deepened, as the hands-on experiment develops.</w:t>
      </w:r>
    </w:p>
    <w:p w:rsidRPr="00695B5B" w:rsidR="00411741" w:rsidP="003876D0" w:rsidRDefault="00411741" w14:paraId="0199598C" w14:textId="38980D71">
      <w:pPr>
        <w:spacing w:line="360" w:lineRule="auto"/>
        <w:jc w:val="both"/>
      </w:pPr>
      <w:r w:rsidRPr="00695B5B">
        <w:tab/>
      </w:r>
      <w:hyperlink w:history="1" w:anchor="_Chapter_2:_">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Pr="00695B5B" w:rsidR="00695B5B">
        <w:t>draw</w:t>
      </w:r>
      <w:r w:rsidR="00021731">
        <w:t>s</w:t>
      </w:r>
      <w:r w:rsidRPr="00695B5B" w:rsid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history="1" w:anchor="_Chapter_3:_Analysing">
        <w:r w:rsidRPr="00C8633B">
          <w:rPr>
            <w:rStyle w:val="Hyperlink"/>
          </w:rPr>
          <w:t>Chapter 3</w:t>
        </w:r>
      </w:hyperlink>
      <w:r w:rsidRPr="00695B5B">
        <w:t xml:space="preserve">. </w:t>
      </w:r>
      <w:r w:rsidRPr="00695B5B" w:rsidR="00695B5B">
        <w:t xml:space="preserve">At the end, the chapter sums up the lessons learned from the experiment, emphasising the value of hands-on work and collaboration. </w:t>
      </w:r>
    </w:p>
    <w:p w:rsidRPr="00CF5645" w:rsidR="00695B5B" w:rsidP="00CF5645" w:rsidRDefault="00695B5B" w14:paraId="3D8E0B81" w14:textId="455E117B">
      <w:pPr>
        <w:spacing w:line="360" w:lineRule="auto"/>
        <w:jc w:val="both"/>
      </w:pPr>
      <w:r w:rsidRPr="00695B5B">
        <w:tab/>
      </w:r>
      <w:hyperlink w:history="1" w:anchor="_Chapter_3:_Analysing">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history="1" w:anchor="_Chapter_2:_">
        <w:r w:rsidRPr="00C8633B">
          <w:rPr>
            <w:rStyle w:val="Hyperlink"/>
          </w:rPr>
          <w:t>Chapter 2</w:t>
        </w:r>
      </w:hyperlink>
      <w:r w:rsidR="00E94191">
        <w:t xml:space="preserve"> </w:t>
      </w:r>
      <w:r w:rsidR="00EF5BFB">
        <w:t>and</w:t>
      </w:r>
      <w:r w:rsidR="00E94191">
        <w:t xml:space="preserve"> situates it in a broader </w:t>
      </w:r>
      <w:r w:rsidRPr="00E94191" w:rsidR="00E94191">
        <w:rPr>
          <w:i/>
        </w:rPr>
        <w:t>experimental ethos</w:t>
      </w:r>
      <w:r>
        <w:t>. It bridges the questions emerged from the specificity of my case study with broader debates in digital humanities</w:t>
      </w:r>
      <w:r w:rsidR="00E94191">
        <w:t xml:space="preserve"> that have the </w:t>
      </w:r>
      <w:r w:rsidRPr="00E94191" w:rsidR="00E94191">
        <w:rPr>
          <w:i/>
        </w:rPr>
        <w:t xml:space="preserve">digital </w:t>
      </w:r>
      <w:r w:rsidRPr="00E94191" w:rsidR="00E94191">
        <w:rPr>
          <w:i/>
        </w:rPr>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Pr="00CF5645" w:rsidR="00E94191">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Pr="00CF5645" w:rsidR="00E94191">
        <w:t>and make</w:t>
      </w:r>
      <w:r w:rsidR="00021731">
        <w:t>s</w:t>
      </w:r>
      <w:r w:rsidRPr="00CF5645" w:rsidR="00E94191">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Pr="00CF5645" w:rsidR="00E94191">
        <w:t>f</w:t>
      </w:r>
      <w:r w:rsidRPr="00CF5645">
        <w:t xml:space="preserve"> the following</w:t>
      </w:r>
      <w:r w:rsidRPr="00CF5645" w:rsidR="00FC5250">
        <w:t xml:space="preserve"> and last</w:t>
      </w:r>
      <w:r w:rsidRPr="00CF5645">
        <w:t xml:space="preserve"> chapter. </w:t>
      </w:r>
    </w:p>
    <w:p w:rsidR="005B5FBD" w:rsidP="7768ABE7" w:rsidRDefault="00FC5250" w14:textId="0CE2B9C8" w14:paraId="399D2989">
      <w:pPr>
        <w:autoSpaceDE w:val="0"/>
        <w:autoSpaceDN w:val="0"/>
        <w:adjustRightInd w:val="0"/>
        <w:spacing w:line="360" w:lineRule="auto"/>
        <w:jc w:val="both"/>
        <w:rPr>
          <w:lang w:val="en-US"/>
        </w:rPr>
      </w:pPr>
      <w:r w:rsidRPr="00CF5645">
        <w:tab/>
      </w:r>
      <w:hyperlink w:history="1" w:anchor="_Chapter_4:_The">
        <w:r w:rsidRPr="7768ABE7" w:rsidR="00CF5645">
          <w:rPr>
            <w:rStyle w:val="Hyperlink"/>
            <w:b w:val="1"/>
            <w:bCs w:val="1"/>
          </w:rPr>
          <w:t xml:space="preserve">Chapter 4, </w:t>
        </w:r>
        <w:r w:rsidRPr="7768ABE7" w:rsidR="00CF5645">
          <w:rPr>
            <w:rStyle w:val="Hyperlink"/>
            <w:b w:val="1"/>
            <w:bCs w:val="1"/>
            <w:lang w:val="en-US"/>
          </w:rPr>
          <w:t xml:space="preserve">The historian’s kitchen, or how to cook your memories? Interpreting </w:t>
        </w:r>
        <w:r w:rsidRPr="7768ABE7" w:rsidR="00CF5645">
          <w:rPr>
            <w:rStyle w:val="Hyperlink"/>
            <w:b w:val="1"/>
            <w:bCs w:val="1"/>
            <w:lang w:val="en-US"/>
          </w:rPr>
          <w:t>Memorecord’s</w:t>
        </w:r>
        <w:r w:rsidRPr="7768ABE7" w:rsidR="00CF5645">
          <w:rPr>
            <w:rStyle w:val="Hyperlink"/>
            <w:b w:val="1"/>
            <w:bCs w:val="1"/>
            <w:lang w:val="en-US"/>
          </w:rPr>
          <w:t xml:space="preserve"> Memory Harvest</w:t>
        </w:r>
      </w:hyperlink>
      <w:r w:rsidRPr="7768ABE7" w:rsidR="00CF5645">
        <w:rPr>
          <w:b w:val="1"/>
          <w:bCs w:val="1"/>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Pr="44F2C80F" w:rsidR="00CF5645">
        <w:rPr>
          <w:i w:val="1"/>
          <w:iCs w:val="1"/>
          <w:lang w:val="en-US"/>
        </w:rPr>
        <w:t>the kitchen</w:t>
      </w:r>
      <w:r w:rsidR="00CF5645">
        <w:rPr>
          <w:lang w:val="en-US"/>
        </w:rPr>
        <w:t xml:space="preserve">, with its tools and ingredients. Next an overview of what we have </w:t>
      </w:r>
      <w:r w:rsidRPr="44F2C80F" w:rsidR="00CF5645">
        <w:rPr>
          <w:i w:val="1"/>
          <w:iCs w:val="1"/>
          <w:lang w:val="en-US"/>
        </w:rPr>
        <w:t>on the menu</w:t>
      </w:r>
      <w:r w:rsidRPr="44F2C80F" w:rsidR="00CF5645">
        <w:rPr>
          <w:i w:val="1"/>
          <w:iCs w:val="1"/>
          <w:lang w:val="en-US"/>
        </w:rPr>
        <w:t>, i.e.</w:t>
      </w:r>
      <w:r w:rsidRPr="44F2C80F" w:rsidR="00CF5645">
        <w:rPr>
          <w:i w:val="1"/>
          <w:iCs w:val="1"/>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Pr="44F2C80F" w:rsidR="00CF5645">
        <w:rPr>
          <w:i w:val="1"/>
          <w:iCs w:val="1"/>
          <w:lang w:val="en-US"/>
        </w:rPr>
        <w:t>Racontez</w:t>
      </w:r>
      <w:proofErr w:type="spellEnd"/>
      <w:r w:rsidRPr="44F2C80F" w:rsidR="00CF5645">
        <w:rPr>
          <w:i w:val="1"/>
          <w:iCs w:val="1"/>
          <w:lang w:val="en-US"/>
        </w:rPr>
        <w:t xml:space="preserve"> </w:t>
      </w:r>
      <w:proofErr w:type="spellStart"/>
      <w:r w:rsidRPr="44F2C80F" w:rsidR="00CF5645">
        <w:rPr>
          <w:i w:val="1"/>
          <w:iCs w:val="1"/>
          <w:lang w:val="en-US"/>
        </w:rPr>
        <w:t>Votre</w:t>
      </w:r>
      <w:proofErr w:type="spellEnd"/>
      <w:r w:rsidRPr="44F2C80F" w:rsidR="00CF5645">
        <w:rPr>
          <w:i w:val="1"/>
          <w:iCs w:val="1"/>
          <w:lang w:val="en-US"/>
        </w:rPr>
        <w:t xml:space="preserve"> Histoire de Vie</w:t>
      </w:r>
      <w:r w:rsidRPr="44F2C80F" w:rsidR="00CF5645">
        <w:rPr>
          <w:i w:val="1"/>
          <w:iCs w:val="1"/>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name="_gjdgxs" w:colFirst="0" w:colLast="0" w:id="2"/>
      <w:bookmarkEnd w:id="2"/>
    </w:p>
    <w:p w:rsidR="44F2C80F" w:rsidP="44F2C80F" w:rsidRDefault="44F2C80F" w14:paraId="71521003" w14:textId="6C615932">
      <w:pPr>
        <w:pStyle w:val="Normal"/>
        <w:spacing w:line="360" w:lineRule="auto"/>
        <w:jc w:val="both"/>
        <w:rPr>
          <w:lang w:val="en-US"/>
        </w:rPr>
      </w:pPr>
    </w:p>
    <w:p w:rsidR="44F2C80F" w:rsidP="44F2C80F" w:rsidRDefault="44F2C80F" w14:paraId="519E0862" w14:textId="01275B36">
      <w:pPr>
        <w:pStyle w:val="Normal"/>
        <w:spacing w:line="360" w:lineRule="auto"/>
        <w:jc w:val="both"/>
        <w:rPr>
          <w:lang w:val="en-US"/>
        </w:rPr>
      </w:pPr>
    </w:p>
    <w:p w:rsidR="44F2C80F" w:rsidP="44F2C80F" w:rsidRDefault="44F2C80F" w14:paraId="0FF265FC" w14:textId="55E18670">
      <w:pPr>
        <w:pStyle w:val="Normal"/>
        <w:spacing w:line="360" w:lineRule="auto"/>
        <w:jc w:val="both"/>
        <w:rPr>
          <w:lang w:val="en-US"/>
        </w:rPr>
      </w:pPr>
    </w:p>
    <w:p w:rsidR="44F2C80F" w:rsidP="44F2C80F" w:rsidRDefault="44F2C80F" w14:paraId="40AAAD10" w14:textId="7B6AAA99">
      <w:pPr>
        <w:pStyle w:val="Normal"/>
        <w:spacing w:line="360" w:lineRule="auto"/>
        <w:jc w:val="both"/>
        <w:rPr>
          <w:lang w:val="en-US"/>
        </w:rPr>
      </w:pPr>
      <w:r w:rsidRPr="322DC8D1" w:rsidR="322DC8D1">
        <w:rPr>
          <w:lang w:val="en-US"/>
        </w:rPr>
        <w:t>Test.</w:t>
      </w:r>
    </w:p>
    <w:p w:rsidR="44F2C80F" w:rsidP="44F2C80F" w:rsidRDefault="44F2C80F" w14:paraId="1806BED7" w14:textId="6BBDA7F8">
      <w:pPr>
        <w:pStyle w:val="Normal"/>
        <w:spacing w:line="360" w:lineRule="auto"/>
        <w:jc w:val="both"/>
        <w:rPr>
          <w:lang w:val="en-US"/>
        </w:rPr>
      </w:pPr>
    </w:p>
    <w:p w:rsidR="44F2C80F" w:rsidP="44F2C80F" w:rsidRDefault="44F2C80F" w14:paraId="137C8B01" w14:textId="4338B4A2">
      <w:pPr>
        <w:pStyle w:val="Normal"/>
        <w:spacing w:line="360" w:lineRule="auto"/>
        <w:jc w:val="both"/>
        <w:rPr>
          <w:lang w:val="en-US"/>
        </w:rPr>
      </w:pPr>
    </w:p>
    <w:p w:rsidR="44F2C80F" w:rsidP="44F2C80F" w:rsidRDefault="44F2C80F" w14:paraId="3C22C3CA" w14:textId="0948D8A5">
      <w:pPr>
        <w:pStyle w:val="Normal"/>
        <w:spacing w:line="360" w:lineRule="auto"/>
        <w:jc w:val="both"/>
        <w:rPr>
          <w:lang w:val="en-US"/>
        </w:rPr>
      </w:pPr>
    </w:p>
    <w:sectPr w:rsidRPr="00885069" w:rsidR="00885069" w:rsidSect="00065CC9">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5715" w:rsidRDefault="00435715" w14:paraId="3D4450CA" w14:textId="77777777">
      <w:pPr>
        <w:spacing w:line="240" w:lineRule="auto"/>
      </w:pPr>
      <w:r>
        <w:separator/>
      </w:r>
    </w:p>
  </w:endnote>
  <w:endnote w:type="continuationSeparator" w:id="0">
    <w:p w:rsidR="00435715" w:rsidRDefault="00435715" w14:paraId="1697173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5715" w:rsidRDefault="00435715" w14:paraId="099FDFBE" w14:textId="77777777">
      <w:pPr>
        <w:spacing w:line="240" w:lineRule="auto"/>
      </w:pPr>
      <w:r>
        <w:separator/>
      </w:r>
    </w:p>
  </w:footnote>
  <w:footnote w:type="continuationSeparator" w:id="0">
    <w:p w:rsidR="00435715" w:rsidRDefault="00435715" w14:paraId="0C50387A" w14:textId="77777777">
      <w:pPr>
        <w:spacing w:line="240" w:lineRule="auto"/>
      </w:pPr>
      <w:r>
        <w:continuationSeparator/>
      </w:r>
    </w:p>
  </w:footnote>
  <w:footnote w:id="1">
    <w:p w:rsidRPr="00D25CCE" w:rsidR="0093637E" w:rsidP="00843B2A" w:rsidRDefault="0093637E" w14:paraId="0000000E" w14:textId="77777777">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US"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322DC8D1"/>
    <w:rsid w:val="44F2C80F"/>
    <w:rsid w:val="680D9720"/>
    <w:rsid w:val="7768A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memorecord.uni.lu/"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34</revision>
  <lastPrinted>2020-08-18T16:36:00.0000000Z</lastPrinted>
  <dcterms:created xsi:type="dcterms:W3CDTF">2020-08-18T16:36:00.0000000Z</dcterms:created>
  <dcterms:modified xsi:type="dcterms:W3CDTF">2025-02-18T13:30:34.4814532Z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