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B3A6B"/>
          <w:sz w:val="44"/>
          <w:szCs w:val="44"/>
        </w:rPr>
        <w:t xml:space="preserve">Voice AI Solutions Pty Ltd</w:t>
      </w:r>
    </w:p>
    <w:p>
      <w:pPr>
        <w:spacing w:after="60" w:before="0"/>
        <w:jc w:val="center"/>
      </w:pPr>
      <w:r>
        <w:rPr>
          <w:rFonts w:ascii="Arial" w:cs="Arial" w:eastAsia="Arial" w:hAnsi="Arial"/>
          <w:b/>
          <w:bCs/>
          <w:color w:val="2C5F9E"/>
          <w:sz w:val="34"/>
          <w:szCs w:val="34"/>
        </w:rPr>
        <w:t xml:space="preserve">Use of Proceeds</w:t>
      </w:r>
    </w:p>
    <w:p>
      <w:pPr>
        <w:spacing w:after="40" w:before="0"/>
        <w:jc w:val="center"/>
      </w:pPr>
      <w:r>
        <w:rPr>
          <w:rFonts w:ascii="Arial" w:cs="Arial" w:eastAsia="Arial" w:hAnsi="Arial"/>
          <w:color w:val="555555"/>
          <w:sz w:val="22"/>
          <w:szCs w:val="22"/>
        </w:rPr>
        <w:t xml:space="preserve">Seed / Series A Equity Round  ·  $1,200,000</w:t>
      </w:r>
    </w:p>
    <w:p>
      <w:pPr>
        <w:spacing w:after="480" w:before="0"/>
        <w:jc w:val="center"/>
      </w:pPr>
      <w:r>
        <w:rPr>
          <w:rFonts w:ascii="Arial" w:cs="Arial" w:eastAsia="Arial" w:hAnsi="Arial"/>
          <w:i/>
          <w:iCs/>
          <w:color w:val="888888"/>
          <w:sz w:val="20"/>
          <w:szCs w:val="20"/>
        </w:rPr>
        <w:t xml:space="preserve">Prepared for Investor Review  ·  2025</w:t>
      </w:r>
    </w:p>
    <w:p>
      <w:pPr>
        <w:spacing w:after="40" w:before="40"/>
      </w:pPr>
      <w:r>
        <w:rPr>
          <w:rFonts w:ascii="Arial" w:cs="Arial" w:eastAsia="Arial" w:hAnsi="Arial"/>
          <w:b/>
          <w:bCs/>
          <w:color w:val="1B3A6B"/>
          <w:sz w:val="20"/>
          <w:szCs w:val="20"/>
        </w:rPr>
        <w:t xml:space="preserve">Company:  </w:t>
      </w:r>
      <w:r>
        <w:rPr>
          <w:rFonts w:ascii="Arial" w:cs="Arial" w:eastAsia="Arial" w:hAnsi="Arial"/>
          <w:sz w:val="20"/>
          <w:szCs w:val="20"/>
        </w:rPr>
        <w:t xml:space="preserve">Voice AI Solutions Pty Ltd (trading as Conversational AI)</w:t>
      </w:r>
    </w:p>
    <w:p>
      <w:pPr>
        <w:spacing w:after="40" w:before="40"/>
      </w:pPr>
      <w:r>
        <w:rPr>
          <w:rFonts w:ascii="Arial" w:cs="Arial" w:eastAsia="Arial" w:hAnsi="Arial"/>
          <w:b/>
          <w:bCs/>
          <w:color w:val="1B3A6B"/>
          <w:sz w:val="20"/>
          <w:szCs w:val="20"/>
        </w:rPr>
        <w:t xml:space="preserve">Website:  </w:t>
      </w:r>
      <w:r>
        <w:rPr>
          <w:rFonts w:ascii="Arial" w:cs="Arial" w:eastAsia="Arial" w:hAnsi="Arial"/>
          <w:sz w:val="20"/>
          <w:szCs w:val="20"/>
        </w:rPr>
        <w:t xml:space="preserve">conversationalai.com.au</w:t>
      </w:r>
    </w:p>
    <w:p>
      <w:pPr>
        <w:spacing w:after="40" w:before="40"/>
      </w:pPr>
      <w:r>
        <w:rPr>
          <w:rFonts w:ascii="Arial" w:cs="Arial" w:eastAsia="Arial" w:hAnsi="Arial"/>
          <w:b/>
          <w:bCs/>
          <w:color w:val="1B3A6B"/>
          <w:sz w:val="20"/>
          <w:szCs w:val="20"/>
        </w:rPr>
        <w:t xml:space="preserve">Incorporated:  </w:t>
      </w:r>
      <w:r>
        <w:rPr>
          <w:rFonts w:ascii="Arial" w:cs="Arial" w:eastAsia="Arial" w:hAnsi="Arial"/>
          <w:sz w:val="20"/>
          <w:szCs w:val="20"/>
        </w:rPr>
        <w:t xml:space="preserve">13 January 2025, New South Wales, Australia</w:t>
      </w:r>
    </w:p>
    <w:p>
      <w:pPr>
        <w:spacing w:after="40" w:before="40"/>
      </w:pPr>
      <w:r>
        <w:rPr>
          <w:rFonts w:ascii="Arial" w:cs="Arial" w:eastAsia="Arial" w:hAnsi="Arial"/>
          <w:b/>
          <w:bCs/>
          <w:color w:val="1B3A6B"/>
          <w:sz w:val="20"/>
          <w:szCs w:val="20"/>
        </w:rPr>
        <w:t xml:space="preserve">Headquarters:  </w:t>
      </w:r>
      <w:r>
        <w:rPr>
          <w:rFonts w:ascii="Arial" w:cs="Arial" w:eastAsia="Arial" w:hAnsi="Arial"/>
          <w:sz w:val="20"/>
          <w:szCs w:val="20"/>
        </w:rPr>
        <w:t xml:space="preserve">Sydney, Australia</w:t>
      </w:r>
    </w:p>
    <w:p>
      <w:pPr>
        <w:spacing w:after="40" w:before="40"/>
      </w:pPr>
      <w:r>
        <w:rPr>
          <w:rFonts w:ascii="Arial" w:cs="Arial" w:eastAsia="Arial" w:hAnsi="Arial"/>
          <w:b/>
          <w:bCs/>
          <w:color w:val="1B3A6B"/>
          <w:sz w:val="20"/>
          <w:szCs w:val="20"/>
        </w:rPr>
        <w:t xml:space="preserve">Raise Type:  </w:t>
      </w:r>
      <w:r>
        <w:rPr>
          <w:rFonts w:ascii="Arial" w:cs="Arial" w:eastAsia="Arial" w:hAnsi="Arial"/>
          <w:sz w:val="20"/>
          <w:szCs w:val="20"/>
        </w:rPr>
        <w:t xml:space="preserve">Equity — Seed / Series A</w:t>
      </w:r>
    </w:p>
    <w:p>
      <w:pPr>
        <w:spacing w:after="40" w:before="40"/>
      </w:pPr>
      <w:r>
        <w:rPr>
          <w:rFonts w:ascii="Arial" w:cs="Arial" w:eastAsia="Arial" w:hAnsi="Arial"/>
          <w:b/>
          <w:bCs/>
          <w:color w:val="1B3A6B"/>
          <w:sz w:val="20"/>
          <w:szCs w:val="20"/>
        </w:rPr>
        <w:t xml:space="preserve">Total Target Raise:  </w:t>
      </w:r>
      <w:r>
        <w:rPr>
          <w:rFonts w:ascii="Arial" w:cs="Arial" w:eastAsia="Arial" w:hAnsi="Arial"/>
          <w:sz w:val="20"/>
          <w:szCs w:val="20"/>
        </w:rPr>
        <w:t xml:space="preserve">$1,200,000</w:t>
      </w:r>
    </w:p>
    <w:p>
      <w:pPr>
        <w:spacing w:after="40" w:before="40"/>
      </w:pPr>
      <w:r>
        <w:rPr>
          <w:rFonts w:ascii="Arial" w:cs="Arial" w:eastAsia="Arial" w:hAnsi="Arial"/>
          <w:b/>
          <w:bCs/>
          <w:color w:val="1B3A6B"/>
          <w:sz w:val="20"/>
          <w:szCs w:val="20"/>
        </w:rPr>
        <w:t xml:space="preserve">Minimum Raise:  </w:t>
      </w:r>
      <w:r>
        <w:rPr>
          <w:rFonts w:ascii="Arial" w:cs="Arial" w:eastAsia="Arial" w:hAnsi="Arial"/>
          <w:sz w:val="20"/>
          <w:szCs w:val="20"/>
        </w:rPr>
        <w:t xml:space="preserve">$600,000</w:t>
      </w:r>
    </w:p>
    <w:p>
      <w:pPr>
        <w:spacing w:after="40" w:before="40"/>
      </w:pPr>
      <w:r>
        <w:rPr>
          <w:rFonts w:ascii="Arial" w:cs="Arial" w:eastAsia="Arial" w:hAnsi="Arial"/>
          <w:b/>
          <w:bCs/>
          <w:color w:val="1B3A6B"/>
          <w:sz w:val="20"/>
          <w:szCs w:val="20"/>
        </w:rPr>
        <w:t xml:space="preserve">Current ARR:  </w:t>
      </w:r>
      <w:r>
        <w:rPr>
          <w:rFonts w:ascii="Arial" w:cs="Arial" w:eastAsia="Arial" w:hAnsi="Arial"/>
          <w:sz w:val="20"/>
          <w:szCs w:val="20"/>
        </w:rPr>
        <w:t xml:space="preserve">$1,200,000</w:t>
      </w:r>
    </w:p>
    <w:p>
      <w:pPr>
        <w:spacing w:after="40" w:before="40"/>
      </w:pPr>
      <w:r>
        <w:rPr>
          <w:rFonts w:ascii="Arial" w:cs="Arial" w:eastAsia="Arial" w:hAnsi="Arial"/>
          <w:b/>
          <w:bCs/>
          <w:color w:val="1B3A6B"/>
          <w:sz w:val="20"/>
          <w:szCs w:val="20"/>
        </w:rPr>
        <w:t xml:space="preserve">Current Monthly Burn:  </w:t>
      </w:r>
      <w:r>
        <w:rPr>
          <w:rFonts w:ascii="Arial" w:cs="Arial" w:eastAsia="Arial" w:hAnsi="Arial"/>
          <w:sz w:val="20"/>
          <w:szCs w:val="20"/>
        </w:rPr>
        <w:t xml:space="preserve">$28,000</w:t>
      </w:r>
    </w:p>
    <w:p>
      <w:pPr>
        <w:spacing w:after="40" w:before="40"/>
      </w:pPr>
      <w:r>
        <w:rPr>
          <w:rFonts w:ascii="Arial" w:cs="Arial" w:eastAsia="Arial" w:hAnsi="Arial"/>
          <w:b/>
          <w:bCs/>
          <w:color w:val="1B3A6B"/>
          <w:sz w:val="20"/>
          <w:szCs w:val="20"/>
        </w:rPr>
        <w:t xml:space="preserve">Current Headcount:  </w:t>
      </w:r>
      <w:r>
        <w:rPr>
          <w:rFonts w:ascii="Arial" w:cs="Arial" w:eastAsia="Arial" w:hAnsi="Arial"/>
          <w:sz w:val="20"/>
          <w:szCs w:val="20"/>
        </w:rPr>
        <w:t xml:space="preserve">4 (including 2 co-founders)</w:t>
      </w:r>
    </w:p>
    <w:p>
      <w:pPr>
        <w:spacing w:after="40" w:before="40"/>
      </w:pPr>
      <w:r>
        <w:rPr>
          <w:rFonts w:ascii="Arial" w:cs="Arial" w:eastAsia="Arial" w:hAnsi="Arial"/>
          <w:b/>
          <w:bCs/>
          <w:color w:val="1B3A6B"/>
          <w:sz w:val="20"/>
          <w:szCs w:val="20"/>
        </w:rPr>
        <w:t xml:space="preserve">Primary Deployment:  </w:t>
      </w:r>
      <w:r>
        <w:rPr>
          <w:rFonts w:ascii="Arial" w:cs="Arial" w:eastAsia="Arial" w:hAnsi="Arial"/>
          <w:sz w:val="20"/>
          <w:szCs w:val="20"/>
        </w:rPr>
        <w:t xml:space="preserve">12 months</w:t>
      </w:r>
    </w:p>
    <w:p>
      <w:pPr>
        <w:spacing w:after="40" w:before="40"/>
      </w:pPr>
      <w:r>
        <w:rPr>
          <w:rFonts w:ascii="Arial" w:cs="Arial" w:eastAsia="Arial" w:hAnsi="Arial"/>
          <w:b/>
          <w:bCs/>
          <w:color w:val="1B3A6B"/>
          <w:sz w:val="20"/>
          <w:szCs w:val="20"/>
        </w:rPr>
        <w:t xml:space="preserve">Buffer Period:  </w:t>
      </w:r>
      <w:r>
        <w:rPr>
          <w:rFonts w:ascii="Arial" w:cs="Arial" w:eastAsia="Arial" w:hAnsi="Arial"/>
          <w:sz w:val="20"/>
          <w:szCs w:val="20"/>
        </w:rPr>
        <w:t xml:space="preserve">6 months</w:t>
      </w:r>
    </w:p>
    <w:p>
      <w:pPr>
        <w:spacing w:after="80" w:before="80"/>
      </w:pPr>
    </w:p>
    <w:p>
      <w:r>
        <w:br w:type="page"/>
      </w:r>
    </w:p>
    <w:p>
      <w:pPr>
        <w:pStyle w:val="Heading1"/>
        <w:pBdr>
          <w:bottom w:val="single" w:color="1B3A6B" w:sz="6" w:space="4"/>
        </w:pBdr>
        <w:spacing w:after="120" w:before="360"/>
      </w:pPr>
      <w:r>
        <w:rPr>
          <w:rFonts w:ascii="Arial" w:cs="Arial" w:eastAsia="Arial" w:hAnsi="Arial"/>
          <w:b/>
          <w:bCs/>
          <w:color w:val="1B3A6B"/>
          <w:sz w:val="30"/>
          <w:szCs w:val="30"/>
        </w:rPr>
        <w:t xml:space="preserve">1.  Executive Summary</w:t>
      </w:r>
    </w:p>
    <w:p>
      <w:pPr>
        <w:spacing w:after="60" w:before="60"/>
      </w:pPr>
      <w:r>
        <w:rPr>
          <w:rFonts w:ascii="Arial" w:cs="Arial" w:eastAsia="Arial" w:hAnsi="Arial"/>
          <w:sz w:val="20"/>
          <w:szCs w:val="20"/>
        </w:rPr>
        <w:t xml:space="preserve">Voice AI Solutions Pty Ltd is raising $1,200,000 in equity to accelerate its path from $1.2M ARR toward $2.5–3.0M ARR within 12 to 18 months. The company has achieved exceptional early traction — reaching $1.2M ARR within its first six months of operation — validating strong product-market fit across enterprise verticals including real estate, debt collection, and healthcare.</w:t>
      </w:r>
    </w:p>
    <w:p>
      <w:pPr>
        <w:spacing w:after="80" w:before="80"/>
      </w:pPr>
    </w:p>
    <w:p>
      <w:pPr>
        <w:spacing w:after="60" w:before="60"/>
      </w:pPr>
      <w:r>
        <w:rPr>
          <w:rFonts w:ascii="Arial" w:cs="Arial" w:eastAsia="Arial" w:hAnsi="Arial"/>
          <w:sz w:val="20"/>
          <w:szCs w:val="20"/>
        </w:rPr>
        <w:t xml:space="preserve">This raise is structured primarily as a go-to-market acceleration round. The majority of capital will be deployed into sales capacity and demand generation, with the balance funding continued product and engineering investment, secured Australian GPU compute infrastructure, customer success infrastructure, and the compliance and legal foundation required to operate at enterprise scale.</w:t>
      </w:r>
    </w:p>
    <w:p>
      <w:pPr>
        <w:spacing w:after="80" w:before="80"/>
      </w:pPr>
    </w:p>
    <w:p>
      <w:pPr>
        <w:spacing w:after="60" w:before="60"/>
      </w:pPr>
      <w:r>
        <w:rPr>
          <w:rFonts w:ascii="Arial" w:cs="Arial" w:eastAsia="Arial" w:hAnsi="Arial"/>
          <w:sz w:val="20"/>
          <w:szCs w:val="20"/>
        </w:rPr>
        <w:t xml:space="preserve">The minimum viable raise of $600,000 will provide approximately 21 months of static runway at the current burn rate of $28,000 per month and will fund the go-to-market hiring programme and core product investment. The full $1,200,000 raise will fund the complete growth plan — including compute infrastructure and an expanded sales team — and is targeted to deliver the ARR trajectory required to support a future Series A raise.</w:t>
      </w:r>
    </w:p>
    <w:p>
      <w:pPr>
        <w:spacing w:after="80" w:before="80"/>
      </w:pPr>
    </w:p>
    <w:p>
      <w:pPr>
        <w:pBdr>
          <w:top w:val="single" w:color="2C5F9E" w:sz="8" w:space="4"/>
          <w:right w:val="single" w:color="2C5F9E" w:sz="8" w:space="4"/>
        </w:pBdr>
        <w:spacing w:after="40" w:before="120"/>
        <w:ind w:left="360" w:right="360"/>
      </w:pPr>
      <w:r>
        <w:rPr>
          <w:rFonts w:ascii="Arial" w:cs="Arial" w:eastAsia="Arial" w:hAnsi="Arial"/>
          <w:i/>
          <w:iCs/>
          <w:sz w:val="20"/>
          <w:szCs w:val="20"/>
        </w:rPr>
        <w:t xml:space="preserve">$1.2M ARR in six months from a four-person team demonstrates compelling product-market fit.</w:t>
      </w:r>
    </w:p>
    <w:p>
      <w:pPr>
        <w:pBdr>
          <w:right w:val="single" w:color="2C5F9E" w:sz="8" w:space="4"/>
        </w:pBdr>
        <w:spacing w:after="40" w:before="40"/>
        <w:ind w:left="360" w:right="360"/>
      </w:pPr>
      <w:r>
        <w:rPr>
          <w:rFonts w:ascii="Arial" w:cs="Arial" w:eastAsia="Arial" w:hAnsi="Arial"/>
          <w:i/>
          <w:iCs/>
          <w:sz w:val="20"/>
          <w:szCs w:val="20"/>
        </w:rPr>
        <w:t xml:space="preserve">This raise is designed to compound that early momentum into a durable, scalable revenue engine.</w:t>
      </w:r>
    </w:p>
    <w:p>
      <w:pPr>
        <w:pBdr>
          <w:bottom w:val="single" w:color="2C5F9E" w:sz="8" w:space="4"/>
          <w:right w:val="single" w:color="2C5F9E" w:sz="8" w:space="4"/>
        </w:pBdr>
        <w:spacing w:after="120" w:before="40"/>
        <w:ind w:left="360" w:right="360"/>
      </w:pPr>
      <w:r>
        <w:rPr>
          <w:rFonts w:ascii="Arial" w:cs="Arial" w:eastAsia="Arial" w:hAnsi="Arial"/>
          <w:i/>
          <w:iCs/>
          <w:sz w:val="20"/>
          <w:szCs w:val="20"/>
        </w:rPr>
        <w:t xml:space="preserve">Capital will be deployed with discipline across five defined categories over a 12–18 month window.</w:t>
      </w:r>
    </w:p>
    <w:p>
      <w:pPr>
        <w:spacing w:after="80" w:before="80"/>
      </w:pPr>
    </w:p>
    <w:p>
      <w:pPr>
        <w:pStyle w:val="Heading1"/>
        <w:pBdr>
          <w:bottom w:val="single" w:color="1B3A6B" w:sz="6" w:space="4"/>
        </w:pBdr>
        <w:spacing w:after="120" w:before="360"/>
      </w:pPr>
      <w:r>
        <w:rPr>
          <w:rFonts w:ascii="Arial" w:cs="Arial" w:eastAsia="Arial" w:hAnsi="Arial"/>
          <w:b/>
          <w:bCs/>
          <w:color w:val="1B3A6B"/>
          <w:sz w:val="30"/>
          <w:szCs w:val="30"/>
        </w:rPr>
        <w:t xml:space="preserve">2.  Allocation Overview</w:t>
      </w:r>
    </w:p>
    <w:p>
      <w:pPr>
        <w:spacing w:after="60" w:before="60"/>
      </w:pPr>
      <w:r>
        <w:rPr>
          <w:rFonts w:ascii="Arial" w:cs="Arial" w:eastAsia="Arial" w:hAnsi="Arial"/>
          <w:sz w:val="20"/>
          <w:szCs w:val="20"/>
        </w:rPr>
        <w:t xml:space="preserve">The $1,200,000 will be deployed across five categories as follows: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440"/>
        <w:gridCol w:w="2640"/>
      </w:tblGrid>
      <w:tr>
        <w:trPr>
          <w:tblHeader/>
        </w:trPr>
        <w:tc>
          <w:tcPr>
            <w:tcW w:type="dxa" w:w="36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Category</w:t>
            </w:r>
          </w:p>
        </w:tc>
        <w:tc>
          <w:tcPr>
            <w:tcW w:type="dxa" w:w="16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144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Share</w:t>
            </w:r>
          </w:p>
        </w:tc>
        <w:tc>
          <w:tcPr>
            <w:tcW w:type="dxa" w:w="264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Key Investment Areas</w:t>
            </w:r>
          </w:p>
        </w:tc>
      </w:tr>
      <w:tr>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Go-To-Market and Sales</w:t>
            </w:r>
          </w:p>
        </w:tc>
        <w:tc>
          <w:tcPr>
            <w:tcW w:type="dxa" w:w="1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$481,500</w:t>
            </w:r>
          </w:p>
        </w:tc>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40.1%</w:t>
            </w:r>
          </w:p>
        </w:tc>
        <w:tc>
          <w:tcPr>
            <w:tcW w:type="dxa" w:w="26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Sales headcount, demand generation, partnerships</w:t>
            </w:r>
          </w:p>
        </w:tc>
      </w:tr>
      <w:tr>
        <w:tc>
          <w:tcPr>
            <w:tcW w:type="dxa" w:w="36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Product and Engineering</w:t>
            </w:r>
          </w:p>
        </w:tc>
        <w:tc>
          <w:tcPr>
            <w:tcW w:type="dxa" w:w="16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$300,500</w:t>
            </w:r>
          </w:p>
        </w:tc>
        <w:tc>
          <w:tcPr>
            <w:tcW w:type="dxa" w:w="144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25.0%</w:t>
            </w:r>
          </w:p>
        </w:tc>
        <w:tc>
          <w:tcPr>
            <w:tcW w:type="dxa" w:w="264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Engineering hires, platform development</w:t>
            </w:r>
          </w:p>
        </w:tc>
      </w:tr>
      <w:tr>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Compute Infrastructure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$241,000</w:t>
            </w:r>
          </w:p>
        </w:tc>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20.1%</w:t>
            </w:r>
          </w:p>
        </w:tc>
        <w:tc>
          <w:tcPr>
            <w:tcW w:type="dxa" w:w="26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GPU leases, redundancy, monitoring</w:t>
            </w:r>
          </w:p>
        </w:tc>
      </w:tr>
      <w:tr>
        <w:tc>
          <w:tcPr>
            <w:tcW w:type="dxa" w:w="36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Operations and Customer Success</w:t>
            </w:r>
          </w:p>
        </w:tc>
        <w:tc>
          <w:tcPr>
            <w:tcW w:type="dxa" w:w="16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$120,500</w:t>
            </w:r>
          </w:p>
        </w:tc>
        <w:tc>
          <w:tcPr>
            <w:tcW w:type="dxa" w:w="144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10.0%</w:t>
            </w:r>
          </w:p>
        </w:tc>
        <w:tc>
          <w:tcPr>
            <w:tcW w:type="dxa" w:w="264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Customer success, onboarding, QA</w:t>
            </w:r>
          </w:p>
        </w:tc>
      </w:tr>
      <w:tr>
        <w:tc>
          <w:tcPr>
            <w:tcW w:type="dxa" w:w="36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Compliance, Legal and Admin</w:t>
            </w:r>
          </w:p>
        </w:tc>
        <w:tc>
          <w:tcPr>
            <w:tcW w:type="dxa" w:w="16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$56,500</w:t>
            </w:r>
          </w:p>
        </w:tc>
        <w:tc>
          <w:tcPr>
            <w:tcW w:type="dxa" w:w="14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4.7%</w:t>
            </w:r>
          </w:p>
        </w:tc>
        <w:tc>
          <w:tcPr>
            <w:tcW w:type="dxa" w:w="264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Regulatory, legal, general admin</w:t>
            </w:r>
          </w:p>
        </w:tc>
      </w:tr>
      <w:tr>
        <w:tc>
          <w:tcPr>
            <w:tcW w:type="dxa" w:w="36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w:t>
            </w:r>
          </w:p>
        </w:tc>
        <w:tc>
          <w:tcPr>
            <w:tcW w:type="dxa" w:w="16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$1,200,000</w:t>
            </w:r>
          </w:p>
        </w:tc>
        <w:tc>
          <w:tcPr>
            <w:tcW w:type="dxa" w:w="14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100.0%</w:t>
            </w:r>
          </w:p>
        </w:tc>
        <w:tc>
          <w:tcPr>
            <w:tcW w:type="dxa" w:w="264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
            </w:r>
          </w:p>
        </w:tc>
      </w:tr>
    </w:tbl>
    <w:p>
      <w:pPr>
        <w:spacing w:after="80" w:before="80"/>
      </w:pPr>
    </w:p>
    <w:p>
      <w:pPr>
        <w:spacing w:after="60" w:before="60"/>
      </w:pPr>
      <w:r>
        <w:rPr>
          <w:rFonts w:ascii="Arial" w:cs="Arial" w:eastAsia="Arial" w:hAnsi="Arial"/>
          <w:sz w:val="20"/>
          <w:szCs w:val="20"/>
        </w:rPr>
        <w:t xml:space="preserve">The weighting reflects the company's primary objective at this stage: driving rapid, repeatable revenue growth. Go-to-market investment alone accounts for 40.1% of the raise. Product and compute investment together (45.1%) ensures the platform can scale reliably to support a larger client base. Operations and compliance (14.7%) funds the infrastructure required to retain and expand enterprise clients without sacrificing delivery quality.</w:t>
      </w:r>
    </w:p>
    <w:p>
      <w:pPr>
        <w:spacing w:after="80" w:before="80"/>
      </w:pPr>
    </w:p>
    <w:p>
      <w:r>
        <w:br w:type="page"/>
      </w:r>
    </w:p>
    <w:p>
      <w:pPr>
        <w:pStyle w:val="Heading1"/>
        <w:pBdr>
          <w:bottom w:val="single" w:color="1B3A6B" w:sz="6" w:space="4"/>
        </w:pBdr>
        <w:spacing w:after="120" w:before="360"/>
      </w:pPr>
      <w:r>
        <w:rPr>
          <w:rFonts w:ascii="Arial" w:cs="Arial" w:eastAsia="Arial" w:hAnsi="Arial"/>
          <w:b/>
          <w:bCs/>
          <w:color w:val="1B3A6B"/>
          <w:sz w:val="30"/>
          <w:szCs w:val="30"/>
        </w:rPr>
        <w:t xml:space="preserve">3.  Detailed Use by Category</w:t>
      </w:r>
    </w:p>
    <w:p>
      <w:pPr>
        <w:pStyle w:val="Heading2"/>
        <w:spacing w:after="80" w:before="280"/>
      </w:pPr>
      <w:r>
        <w:rPr>
          <w:rFonts w:ascii="Arial" w:cs="Arial" w:eastAsia="Arial" w:hAnsi="Arial"/>
          <w:b/>
          <w:bCs/>
          <w:color w:val="2C5F9E"/>
          <w:sz w:val="26"/>
          <w:szCs w:val="26"/>
        </w:rPr>
        <w:t xml:space="preserve">Category 1 — Go-To-Market and Sales  |  $481,500  (40.1%)</w:t>
      </w:r>
    </w:p>
    <w:p>
      <w:pPr>
        <w:spacing w:after="60" w:before="60"/>
      </w:pPr>
      <w:r>
        <w:rPr>
          <w:rFonts w:ascii="Arial" w:cs="Arial" w:eastAsia="Arial" w:hAnsi="Arial"/>
          <w:sz w:val="20"/>
          <w:szCs w:val="20"/>
        </w:rPr>
        <w:t xml:space="preserve">This is the largest single allocation and reflects the company's primary growth lever. With $1.2M ARR achieved in six months from a team of four, the purpose of this investment is to multiply that output through dedicated sales capacity and structured demand generation — without sacrificing the discipline and personalisation that have driven early commercial wins.</w:t>
      </w:r>
    </w:p>
    <w:p>
      <w:pPr>
        <w:spacing w:after="80" w:before="80"/>
      </w:pPr>
    </w:p>
    <w:p>
      <w:pPr>
        <w:spacing w:after="60" w:before="200"/>
      </w:pPr>
      <w:r>
        <w:rPr>
          <w:rFonts w:ascii="Arial" w:cs="Arial" w:eastAsia="Arial" w:hAnsi="Arial"/>
          <w:b/>
          <w:bCs/>
          <w:color w:val="1B3A6B"/>
          <w:sz w:val="22"/>
          <w:szCs w:val="22"/>
        </w:rPr>
        <w:t xml:space="preserve">Personnel — $288,900  (60% of category)</w:t>
      </w:r>
    </w:p>
    <w:p>
      <w:pPr>
        <w:spacing w:after="60" w:before="60"/>
      </w:pPr>
      <w:r>
        <w:rPr>
          <w:rFonts w:ascii="Arial" w:cs="Arial" w:eastAsia="Arial" w:hAnsi="Arial"/>
          <w:sz w:val="20"/>
          <w:szCs w:val="20"/>
        </w:rPr>
        <w:t xml:space="preserve">The company will hire 5 B2B sales professionals across the primary deployment period. Each hire will carry an individual revenue target supported by a defined playbook, CRM infrastructure, and sales enablement materials. Compensation includes base salaries (estimated at $90,000–$105,000 per annum per hire at market rates), performance-based commissions, and onboarding and recruitment costs. Priority hiring will focus on individuals with established networks in real estate, debt collection, and healthcare.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Hire 1 (Q1 start)</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$53,500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Base salary pro-rata + commission + recruitment fee (~$8k)</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Hire 2 (Q1 start)</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$53,500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Base salary pro-rata + commission + recruitment fee (~$8k)</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Hire 3 (Q2 start)</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$42,300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Base salary pro-rata + commission + recruitment fee (~$8k)</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Hire 4 (Q2 start)</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$42,300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Base salary pro-rata + commission + recruitment fee (~$8k)</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Hire 5 (Q3 start)</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$29,800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Base salary pro-rata for second half of deployment period</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CRM and Sales Tooling</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$21,500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HubSpot CRM, Instantly.ai outbound, Apollo.io, LinkedIn Sales Nav licences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Onboarding and Enablement</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$46,000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playbook development, training programmes, collateral production</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Personnel</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$288,900</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Marketing and Demand Generation — $120,375  (25% of category)</w:t>
      </w:r>
    </w:p>
    <w:p>
      <w:pPr>
        <w:spacing w:after="60" w:before="60"/>
      </w:pPr>
      <w:r>
        <w:rPr>
          <w:rFonts w:ascii="Arial" w:cs="Arial" w:eastAsia="Arial" w:hAnsi="Arial"/>
          <w:sz w:val="20"/>
          <w:szCs w:val="20"/>
        </w:rPr>
        <w:t xml:space="preserve">Funds will support outbound sales tooling and automation, paid digital media across Google and LinkedIn, industry event attendance and sponsorship, and content marketing investment to build inbound pipeline. The objective is a consistent, measurable demand generation engine that shortens average deal cycles and reduces the cost of new client acquisition over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Paid Digital Advertising (Google, LinkedIn)</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$52,000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~$4,300/month across 12 months; focused on target verticals</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Industry Events and Conferences</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$28,500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2–3 major industry events; booth / sponsorship in real estate and collections verticals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Content Marketing (SEO, case studies)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$19,875</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Blog production, client case studies, white papers for inbound lead generation</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PR and Media</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$12,000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Targeted PR in trade and B2B media to support brand authority in priority verticals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Marketing Automation Setup</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$8,000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HubSpot sequences, landing page tooling, lead tracking configuration</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Marketing</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$120,375</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Partnerships and Business Development — $72,225  (15% of category)</w:t>
      </w:r>
    </w:p>
    <w:p>
      <w:pPr>
        <w:spacing w:after="60" w:before="60"/>
      </w:pPr>
      <w:r>
        <w:rPr>
          <w:rFonts w:ascii="Arial" w:cs="Arial" w:eastAsia="Arial" w:hAnsi="Arial"/>
          <w:sz w:val="20"/>
          <w:szCs w:val="20"/>
        </w:rPr>
        <w:t xml:space="preserve">Capital will fund the establishment of structured channel partnerships with platform aggregators, franchise groups, and technology platforms in real estate and debt collection. This includes partnership development resources, co-marketing agreements, and lightweight integration investments to enable referral and reseller channels to contribute to ARR growth.</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Partnership Development (BD resource)</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$36,000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Dedicated business development resource for 12 months at $3k/month</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Co-Marketing and Joint Campaigns</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$18,225</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Partner-funded campaigns, co-branded collateral, joint webinars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Integration and Technical Connectors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$18,000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API connectors and lightweight integrations with partner platforms</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Partnerships</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$72,225</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Target Outcomes — Category 1</w:t>
      </w:r>
    </w:p>
    <w:p>
      <w:pPr>
        <w:pStyle w:val="ListParagraph"/>
        <w:numPr>
          <w:ilvl w:val="0"/>
          <w:numId w:val="2"/>
        </w:numPr>
        <w:spacing w:after="40" w:before="40"/>
      </w:pPr>
      <w:r>
        <w:rPr>
          <w:rFonts w:ascii="Arial" w:cs="Arial" w:eastAsia="Arial" w:hAnsi="Arial"/>
          <w:sz w:val="20"/>
          <w:szCs w:val="20"/>
        </w:rPr>
        <w:t xml:space="preserve">5 B2B sales professionals hired and ramped within 12 months</w:t>
      </w:r>
    </w:p>
    <w:p>
      <w:pPr>
        <w:pStyle w:val="ListParagraph"/>
        <w:numPr>
          <w:ilvl w:val="0"/>
          <w:numId w:val="2"/>
        </w:numPr>
        <w:spacing w:after="40" w:before="40"/>
      </w:pPr>
      <w:r>
        <w:rPr>
          <w:rFonts w:ascii="Arial" w:cs="Arial" w:eastAsia="Arial" w:hAnsi="Arial"/>
          <w:sz w:val="20"/>
          <w:szCs w:val="20"/>
        </w:rPr>
        <w:t xml:space="preserve">Pipeline coverage ratio of 3x ARR target established and maintained</w:t>
      </w:r>
    </w:p>
    <w:p>
      <w:pPr>
        <w:pStyle w:val="ListParagraph"/>
        <w:numPr>
          <w:ilvl w:val="0"/>
          <w:numId w:val="2"/>
        </w:numPr>
        <w:spacing w:after="40" w:before="40"/>
      </w:pPr>
      <w:r>
        <w:rPr>
          <w:rFonts w:ascii="Arial" w:cs="Arial" w:eastAsia="Arial" w:hAnsi="Arial"/>
          <w:sz w:val="20"/>
          <w:szCs w:val="20"/>
        </w:rPr>
        <w:t xml:space="preserve">Active channel partnerships operational in at least two verticals</w:t>
      </w:r>
    </w:p>
    <w:p>
      <w:pPr>
        <w:pStyle w:val="ListParagraph"/>
        <w:numPr>
          <w:ilvl w:val="0"/>
          <w:numId w:val="2"/>
        </w:numPr>
        <w:spacing w:after="40" w:before="40"/>
      </w:pPr>
      <w:r>
        <w:rPr>
          <w:rFonts w:ascii="Arial" w:cs="Arial" w:eastAsia="Arial" w:hAnsi="Arial"/>
          <w:sz w:val="20"/>
          <w:szCs w:val="20"/>
        </w:rPr>
        <w:t xml:space="preserve">Structured demand generation engine producing measurable monthly inbound and outbound pipeline</w:t>
      </w:r>
    </w:p>
    <w:p>
      <w:pPr>
        <w:pStyle w:val="ListParagraph"/>
        <w:numPr>
          <w:ilvl w:val="0"/>
          <w:numId w:val="2"/>
        </w:numPr>
        <w:spacing w:after="40" w:before="40"/>
      </w:pPr>
      <w:r>
        <w:rPr>
          <w:rFonts w:ascii="Arial" w:cs="Arial" w:eastAsia="Arial" w:hAnsi="Arial"/>
          <w:sz w:val="20"/>
          <w:szCs w:val="20"/>
        </w:rPr>
        <w:t xml:space="preserve">Average deal cycle reduced through improved sales process, tooling, and partner referral volume</w:t>
      </w:r>
    </w:p>
    <w:p>
      <w:pPr>
        <w:spacing w:after="80" w:before="80"/>
      </w:pPr>
    </w:p>
    <w:p>
      <w:r>
        <w:br w:type="page"/>
      </w:r>
    </w:p>
    <w:p>
      <w:pPr>
        <w:pStyle w:val="Heading2"/>
        <w:spacing w:after="80" w:before="280"/>
      </w:pPr>
      <w:r>
        <w:rPr>
          <w:rFonts w:ascii="Arial" w:cs="Arial" w:eastAsia="Arial" w:hAnsi="Arial"/>
          <w:b/>
          <w:bCs/>
          <w:color w:val="2C5F9E"/>
          <w:sz w:val="26"/>
          <w:szCs w:val="26"/>
        </w:rPr>
        <w:t xml:space="preserve">Category 2 — Product and Engineering  |  $300,500  (25.0%)</w:t>
      </w:r>
    </w:p>
    <w:p>
      <w:pPr>
        <w:spacing w:after="60" w:before="60"/>
      </w:pPr>
      <w:r>
        <w:rPr>
          <w:rFonts w:ascii="Arial" w:cs="Arial" w:eastAsia="Arial" w:hAnsi="Arial"/>
          <w:sz w:val="20"/>
          <w:szCs w:val="20"/>
        </w:rPr>
        <w:t xml:space="preserve">Product investment at this stage is designed to ensure the platform can retain and expand its enterprise client base as it scales — not just acquire it. The current platform has demonstrated the ability to win enterprise clients; this allocation ensures reliability, integration depth, and feature velocity keep pace with a growing commercial footprint.</w:t>
      </w:r>
    </w:p>
    <w:p>
      <w:pPr>
        <w:spacing w:after="80" w:before="80"/>
      </w:pPr>
    </w:p>
    <w:p>
      <w:pPr>
        <w:spacing w:after="60" w:before="200"/>
      </w:pPr>
      <w:r>
        <w:rPr>
          <w:rFonts w:ascii="Arial" w:cs="Arial" w:eastAsia="Arial" w:hAnsi="Arial"/>
          <w:b/>
          <w:bCs/>
          <w:color w:val="1B3A6B"/>
          <w:sz w:val="22"/>
          <w:szCs w:val="22"/>
        </w:rPr>
        <w:t xml:space="preserve">Engineering Hires — $180,300  (60% of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Senior Engineer Hire 1 (Q1 start)</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$78,000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Full-year equivalent; focus on platform stability, uptime, and infrastructure</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Senior Engineer Hire 2 (Q2 start)</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$58,500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Half-year equivalent; focus on integrations and deployment tooling</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Recruitment Costs (2 hires)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$18,000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Agency or job board fees; technical assessment tooling</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Contractor / Specialist (as needed)</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$25,800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Short-term specialist capacity for multi-agent or LLM infrastructure work</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Engineering Hires</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$180,300</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Platform Development Priorities — $120,200  (40% of category)</w:t>
      </w:r>
    </w:p>
    <w:p>
      <w:pPr>
        <w:spacing w:after="60" w:before="60"/>
      </w:pPr>
      <w:r>
        <w:rPr>
          <w:rFonts w:ascii="Arial" w:cs="Arial" w:eastAsia="Arial" w:hAnsi="Arial"/>
          <w:sz w:val="20"/>
          <w:szCs w:val="20"/>
        </w:rPr>
        <w:t xml:space="preserve">Specific development investment will be allocated across the following product priorities, ranked by revenue impact and enterprise client retention value: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Voice AI Reliability (latency, call accuracy, uptime SLAs)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$32,500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Foundational — directly tied to enterprise contract renewals and expansion</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Multi-Agent Orchestration</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$28,000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Productised multi-step AI workflows for clients with complex operational needs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CRM and Third-Party Integrations (5+ platforms)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$24,500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Deep connectivity with REA Group, PropertyMe, MYOB, Salesforce, and others</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Reporting and Analytics Dashboard</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$19,200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Client-facing visibility into agent performance, call outcomes, ROI metrics</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Deployment Time Reduction (tooling and automation)</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$16,000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Compress time from contract signing to go-live; key driver of client satisfaction</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Platform Development</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$120,200</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Target Outcomes — Category 2</w:t>
      </w:r>
    </w:p>
    <w:p>
      <w:pPr>
        <w:pStyle w:val="ListParagraph"/>
        <w:numPr>
          <w:ilvl w:val="0"/>
          <w:numId w:val="2"/>
        </w:numPr>
        <w:spacing w:after="40" w:before="40"/>
      </w:pPr>
      <w:r>
        <w:rPr>
          <w:rFonts w:ascii="Arial" w:cs="Arial" w:eastAsia="Arial" w:hAnsi="Arial"/>
          <w:sz w:val="20"/>
          <w:szCs w:val="20"/>
        </w:rPr>
        <w:t xml:space="preserve">Platform capable of supporting 5x current client volume without performance degradation</w:t>
      </w:r>
    </w:p>
    <w:p>
      <w:pPr>
        <w:pStyle w:val="ListParagraph"/>
        <w:numPr>
          <w:ilvl w:val="0"/>
          <w:numId w:val="2"/>
        </w:numPr>
        <w:spacing w:after="40" w:before="40"/>
      </w:pPr>
      <w:r>
        <w:rPr>
          <w:rFonts w:ascii="Arial" w:cs="Arial" w:eastAsia="Arial" w:hAnsi="Arial"/>
          <w:sz w:val="20"/>
          <w:szCs w:val="20"/>
        </w:rPr>
        <w:t xml:space="preserve">Average deployment time reduced by at least 50% through tooling and process improvements</w:t>
      </w:r>
    </w:p>
    <w:p>
      <w:pPr>
        <w:pStyle w:val="ListParagraph"/>
        <w:numPr>
          <w:ilvl w:val="0"/>
          <w:numId w:val="2"/>
        </w:numPr>
        <w:spacing w:after="40" w:before="40"/>
      </w:pPr>
      <w:r>
        <w:rPr>
          <w:rFonts w:ascii="Arial" w:cs="Arial" w:eastAsia="Arial" w:hAnsi="Arial"/>
          <w:sz w:val="20"/>
          <w:szCs w:val="20"/>
        </w:rPr>
        <w:t xml:space="preserve">Five or more new CRM and platform integrations launched and available to new clients</w:t>
      </w:r>
    </w:p>
    <w:p>
      <w:pPr>
        <w:pStyle w:val="ListParagraph"/>
        <w:numPr>
          <w:ilvl w:val="0"/>
          <w:numId w:val="2"/>
        </w:numPr>
        <w:spacing w:after="40" w:before="40"/>
      </w:pPr>
      <w:r>
        <w:rPr>
          <w:rFonts w:ascii="Arial" w:cs="Arial" w:eastAsia="Arial" w:hAnsi="Arial"/>
          <w:sz w:val="20"/>
          <w:szCs w:val="20"/>
        </w:rPr>
        <w:t xml:space="preserve">Multi-agent orchestration available as a productised, client-facing feature</w:t>
      </w:r>
    </w:p>
    <w:p>
      <w:pPr>
        <w:pStyle w:val="ListParagraph"/>
        <w:numPr>
          <w:ilvl w:val="0"/>
          <w:numId w:val="2"/>
        </w:numPr>
        <w:spacing w:after="40" w:before="40"/>
      </w:pPr>
      <w:r>
        <w:rPr>
          <w:rFonts w:ascii="Arial" w:cs="Arial" w:eastAsia="Arial" w:hAnsi="Arial"/>
          <w:sz w:val="20"/>
          <w:szCs w:val="20"/>
        </w:rPr>
        <w:t xml:space="preserve">Reporting and analytics dashboard live across all active enterprise deployments</w:t>
      </w:r>
    </w:p>
    <w:p>
      <w:pPr>
        <w:spacing w:after="80" w:before="80"/>
      </w:pPr>
    </w:p>
    <w:p>
      <w:pPr>
        <w:pStyle w:val="Heading2"/>
        <w:spacing w:after="80" w:before="280"/>
      </w:pPr>
      <w:r>
        <w:rPr>
          <w:rFonts w:ascii="Arial" w:cs="Arial" w:eastAsia="Arial" w:hAnsi="Arial"/>
          <w:b/>
          <w:bCs/>
          <w:color w:val="2C5F9E"/>
          <w:sz w:val="26"/>
          <w:szCs w:val="26"/>
        </w:rPr>
        <w:t xml:space="preserve">Category 3 — Compute Infrastructure  |  $241,000  (20.1%)</w:t>
      </w:r>
    </w:p>
    <w:p>
      <w:pPr>
        <w:spacing w:after="60" w:before="60"/>
      </w:pPr>
      <w:r>
        <w:rPr>
          <w:rFonts w:ascii="Arial" w:cs="Arial" w:eastAsia="Arial" w:hAnsi="Arial"/>
          <w:sz w:val="20"/>
          <w:szCs w:val="20"/>
        </w:rPr>
        <w:t xml:space="preserve">Australia's GPU compute market remains supply-constrained. Early movers who secure dedicated infrastructure capacity gain a durable advantage in both performance and per-call cost. This allocation ensures Voice AI Solutions can deliver consistent, low-latency inference for enterprise clients on Australian soil — a material differentiator for clients with data sovereignty requirements in healthcare, financial services, and government-adjacent sectors.</w:t>
      </w:r>
    </w:p>
    <w:p>
      <w:pPr>
        <w:spacing w:after="80" w:before="80"/>
      </w:pPr>
    </w:p>
    <w:p>
      <w:pPr>
        <w:spacing w:after="60" w:before="200"/>
      </w:pPr>
      <w:r>
        <w:rPr>
          <w:rFonts w:ascii="Arial" w:cs="Arial" w:eastAsia="Arial" w:hAnsi="Arial"/>
          <w:b/>
          <w:bCs/>
          <w:color w:val="1B3A6B"/>
          <w:sz w:val="22"/>
          <w:szCs w:val="22"/>
        </w:rPr>
        <w:t xml:space="preserve">Infrastructure Approach — Lease-Based GPU Capacity</w:t>
      </w:r>
    </w:p>
    <w:p>
      <w:pPr>
        <w:spacing w:after="60" w:before="60"/>
      </w:pPr>
      <w:r>
        <w:rPr>
          <w:rFonts w:ascii="Arial" w:cs="Arial" w:eastAsia="Arial" w:hAnsi="Arial"/>
          <w:sz w:val="20"/>
          <w:szCs w:val="20"/>
        </w:rPr>
        <w:t xml:space="preserve">Rather than purchasing hardware outright, the company will lease GPU infrastructure within Australian data centres. This preserves capital flexibility, avoids asset depreciation risk, and locks in sufficient capacity to support planned client growth across the deployment period.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GPU Lease — Primary Inference Cluster (12 months)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$144,000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~$12,000/month; dedicated A100 or H100 equivalent capacity for production voice agents</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GPU Lease — Development and Staging Environment</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$24,000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~$2,000/month; separate environment for model testing and staging</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Infrastructure Management Tooling</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$14,500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Monitoring, alerting, auto-scaling management; ops tooling licences</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Redundancy and Failover Architecture</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$28,500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Secondary region standby; failover configuration; disaster recovery testing</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Capacity Planning and Architecture Review</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$18,000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Specialist infrastructure advisory; capacity modelling for 12–18 month growth</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Data Sovereignty Compliance Documentation</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$12,000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Formal audit trail and documentation for enterprise client due diligence</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Compute Infrastructure</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$241,000</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Rationale for Prioritisation</w:t>
      </w:r>
    </w:p>
    <w:p>
      <w:pPr>
        <w:spacing w:after="60" w:before="60"/>
      </w:pPr>
      <w:r>
        <w:rPr>
          <w:rFonts w:ascii="Arial" w:cs="Arial" w:eastAsia="Arial" w:hAnsi="Arial"/>
          <w:sz w:val="20"/>
          <w:szCs w:val="20"/>
        </w:rPr>
        <w:t xml:space="preserve">Securing compute capacity in Australia provides three distinct advantages. First, it reduces per-unit inference costs at scale compared to continued reliance on third-party API providers. Second, it enables data sovereignty compliance for clients in regulated industries — a procurement requirement for several existing pipeline opportunities. Third, it creates a supply-side capability moat that is genuinely difficult for new entrants to replicate quickly in the current Australian GPU market.</w:t>
      </w:r>
    </w:p>
    <w:p>
      <w:pPr>
        <w:spacing w:after="80" w:before="80"/>
      </w:pPr>
    </w:p>
    <w:p>
      <w:pPr>
        <w:spacing w:after="60" w:before="200"/>
      </w:pPr>
      <w:r>
        <w:rPr>
          <w:rFonts w:ascii="Arial" w:cs="Arial" w:eastAsia="Arial" w:hAnsi="Arial"/>
          <w:b/>
          <w:bCs/>
          <w:color w:val="1B3A6B"/>
          <w:sz w:val="22"/>
          <w:szCs w:val="22"/>
        </w:rPr>
        <w:t xml:space="preserve">Target Outcomes — Category 3</w:t>
      </w:r>
    </w:p>
    <w:p>
      <w:pPr>
        <w:pStyle w:val="ListParagraph"/>
        <w:numPr>
          <w:ilvl w:val="0"/>
          <w:numId w:val="2"/>
        </w:numPr>
        <w:spacing w:after="40" w:before="40"/>
      </w:pPr>
      <w:r>
        <w:rPr>
          <w:rFonts w:ascii="Arial" w:cs="Arial" w:eastAsia="Arial" w:hAnsi="Arial"/>
          <w:sz w:val="20"/>
          <w:szCs w:val="20"/>
        </w:rPr>
        <w:t xml:space="preserve">Dedicated GPU lease infrastructure operational in Q2 2025</w:t>
      </w:r>
    </w:p>
    <w:p>
      <w:pPr>
        <w:pStyle w:val="ListParagraph"/>
        <w:numPr>
          <w:ilvl w:val="0"/>
          <w:numId w:val="2"/>
        </w:numPr>
        <w:spacing w:after="40" w:before="40"/>
      </w:pPr>
      <w:r>
        <w:rPr>
          <w:rFonts w:ascii="Arial" w:cs="Arial" w:eastAsia="Arial" w:hAnsi="Arial"/>
          <w:sz w:val="20"/>
          <w:szCs w:val="20"/>
        </w:rPr>
        <w:t xml:space="preserve">Sufficient compute capacity to support 3x current call volume without degradation</w:t>
      </w:r>
    </w:p>
    <w:p>
      <w:pPr>
        <w:pStyle w:val="ListParagraph"/>
        <w:numPr>
          <w:ilvl w:val="0"/>
          <w:numId w:val="2"/>
        </w:numPr>
        <w:spacing w:after="40" w:before="40"/>
      </w:pPr>
      <w:r>
        <w:rPr>
          <w:rFonts w:ascii="Arial" w:cs="Arial" w:eastAsia="Arial" w:hAnsi="Arial"/>
          <w:sz w:val="20"/>
          <w:szCs w:val="20"/>
        </w:rPr>
        <w:t xml:space="preserve">Meaningful reduction in per-call inference cost as volume scales (target: &gt;30% reduction vs API costs)</w:t>
      </w:r>
    </w:p>
    <w:p>
      <w:pPr>
        <w:pStyle w:val="ListParagraph"/>
        <w:numPr>
          <w:ilvl w:val="0"/>
          <w:numId w:val="2"/>
        </w:numPr>
        <w:spacing w:after="40" w:before="40"/>
      </w:pPr>
      <w:r>
        <w:rPr>
          <w:rFonts w:ascii="Arial" w:cs="Arial" w:eastAsia="Arial" w:hAnsi="Arial"/>
          <w:sz w:val="20"/>
          <w:szCs w:val="20"/>
        </w:rPr>
        <w:t xml:space="preserve">Data sovereignty compliance available as a formally documented, client-facing capability</w:t>
      </w:r>
    </w:p>
    <w:p>
      <w:pPr>
        <w:spacing w:after="80" w:before="80"/>
      </w:pPr>
    </w:p>
    <w:p>
      <w:r>
        <w:br w:type="page"/>
      </w:r>
    </w:p>
    <w:p>
      <w:pPr>
        <w:pStyle w:val="Heading2"/>
        <w:spacing w:after="80" w:before="280"/>
      </w:pPr>
      <w:r>
        <w:rPr>
          <w:rFonts w:ascii="Arial" w:cs="Arial" w:eastAsia="Arial" w:hAnsi="Arial"/>
          <w:b/>
          <w:bCs/>
          <w:color w:val="2C5F9E"/>
          <w:sz w:val="26"/>
          <w:szCs w:val="26"/>
        </w:rPr>
        <w:t xml:space="preserve">Category 4 — Operations and Customer Success  |  $120,500  (10.0%)</w:t>
      </w:r>
    </w:p>
    <w:p>
      <w:pPr>
        <w:spacing w:after="60" w:before="60"/>
      </w:pPr>
      <w:r>
        <w:rPr>
          <w:rFonts w:ascii="Arial" w:cs="Arial" w:eastAsia="Arial" w:hAnsi="Arial"/>
          <w:sz w:val="20"/>
          <w:szCs w:val="20"/>
        </w:rPr>
        <w:t xml:space="preserve">Revenue retention and expansion are as important as new client acquisition at this stage. This allocation funds the operational infrastructure required to onboard clients efficiently, maintain high-quality AI agent performance, and drive net revenue retention above 110% through structured expansion selling.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Customer Success Manager (12 months)</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$72,000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Dedicated CSM at ~$72k p.a.; owns onboarding, QA, and account growth</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Onboarding Process Development and Documentation</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$14,500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Playbook, client portal, onboarding automation — faster time-to-value</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QA Infrastructure and Ongoing Agent Monitoring</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$16,000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Tooling and manual QA processes for ongoing AI agent performance review</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Expansion Revenue Programmes</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$9,000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Structured account review cadence, upsell motion development, usage reporting</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Client Communication and Reporting Infrastructure</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$9,000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Client-facing reporting, QBR templates, success metrics framework</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Operations and Customer Success</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$120,500</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Target Outcomes — Category 4</w:t>
      </w:r>
    </w:p>
    <w:p>
      <w:pPr>
        <w:pStyle w:val="ListParagraph"/>
        <w:numPr>
          <w:ilvl w:val="0"/>
          <w:numId w:val="2"/>
        </w:numPr>
        <w:spacing w:after="40" w:before="40"/>
      </w:pPr>
      <w:r>
        <w:rPr>
          <w:rFonts w:ascii="Arial" w:cs="Arial" w:eastAsia="Arial" w:hAnsi="Arial"/>
          <w:sz w:val="20"/>
          <w:szCs w:val="20"/>
        </w:rPr>
        <w:t xml:space="preserve">Net revenue retention target of 110% or above within 12 months</w:t>
      </w:r>
    </w:p>
    <w:p>
      <w:pPr>
        <w:pStyle w:val="ListParagraph"/>
        <w:numPr>
          <w:ilvl w:val="0"/>
          <w:numId w:val="2"/>
        </w:numPr>
        <w:spacing w:after="40" w:before="40"/>
      </w:pPr>
      <w:r>
        <w:rPr>
          <w:rFonts w:ascii="Arial" w:cs="Arial" w:eastAsia="Arial" w:hAnsi="Arial"/>
          <w:sz w:val="20"/>
          <w:szCs w:val="20"/>
        </w:rPr>
        <w:t xml:space="preserve">Client onboarding time reduced to under 10 business days for standard deployments</w:t>
      </w:r>
    </w:p>
    <w:p>
      <w:pPr>
        <w:pStyle w:val="ListParagraph"/>
        <w:numPr>
          <w:ilvl w:val="0"/>
          <w:numId w:val="2"/>
        </w:numPr>
        <w:spacing w:after="40" w:before="40"/>
      </w:pPr>
      <w:r>
        <w:rPr>
          <w:rFonts w:ascii="Arial" w:cs="Arial" w:eastAsia="Arial" w:hAnsi="Arial"/>
          <w:sz w:val="20"/>
          <w:szCs w:val="20"/>
        </w:rPr>
        <w:t xml:space="preserve">QA framework operational and applied consistently across all active client deployments</w:t>
      </w:r>
    </w:p>
    <w:p>
      <w:pPr>
        <w:pStyle w:val="ListParagraph"/>
        <w:numPr>
          <w:ilvl w:val="0"/>
          <w:numId w:val="2"/>
        </w:numPr>
        <w:spacing w:after="40" w:before="40"/>
      </w:pPr>
      <w:r>
        <w:rPr>
          <w:rFonts w:ascii="Arial" w:cs="Arial" w:eastAsia="Arial" w:hAnsi="Arial"/>
          <w:sz w:val="20"/>
          <w:szCs w:val="20"/>
        </w:rPr>
        <w:t xml:space="preserve">Customer success capacity sufficient to support planned enterprise client growth without additional headcount in the primary deployment period</w:t>
      </w:r>
    </w:p>
    <w:p>
      <w:pPr>
        <w:spacing w:after="80" w:before="80"/>
      </w:pPr>
    </w:p>
    <w:p>
      <w:pPr>
        <w:pStyle w:val="Heading2"/>
        <w:spacing w:after="80" w:before="280"/>
      </w:pPr>
      <w:r>
        <w:rPr>
          <w:rFonts w:ascii="Arial" w:cs="Arial" w:eastAsia="Arial" w:hAnsi="Arial"/>
          <w:b/>
          <w:bCs/>
          <w:color w:val="2C5F9E"/>
          <w:sz w:val="26"/>
          <w:szCs w:val="26"/>
        </w:rPr>
        <w:t xml:space="preserve">Category 5 — Compliance, Legal and Administration  |  $56,500  (4.7%)</w:t>
      </w:r>
    </w:p>
    <w:p>
      <w:pPr>
        <w:spacing w:after="60" w:before="60"/>
      </w:pPr>
      <w:r>
        <w:rPr>
          <w:rFonts w:ascii="Arial" w:cs="Arial" w:eastAsia="Arial" w:hAnsi="Arial"/>
          <w:sz w:val="20"/>
          <w:szCs w:val="20"/>
        </w:rPr>
        <w:t xml:space="preserve">As Voice AI Solutions scales into regulated verticals — including healthcare, debt collection, and financial services — and pursues international expansion, a proactive compliance and legal foundation is essential. This allocation covers the regulatory, data security, and administrative overhead required to operate and contract at enterprise scale.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80"/>
        <w:gridCol w:w="4480"/>
      </w:tblGrid>
      <w:tr>
        <w:trPr>
          <w:tblHeader/>
        </w:trPr>
        <w:tc>
          <w:tcPr>
            <w:tcW w:type="dxa" w:w="3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Line Item</w:t>
            </w:r>
          </w:p>
        </w:tc>
        <w:tc>
          <w:tcPr>
            <w:tcW w:type="dxa" w:w="1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Amount</w:t>
            </w:r>
          </w:p>
        </w:tc>
        <w:tc>
          <w:tcPr>
            <w:tcW w:type="dxa" w:w="44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Regulatory Compliance Review (Privacy, Telecomms, Sector-Specific)</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$14,500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Australian Privacy Act, ACMA telecommunications regulations, ASIC / APRA sector rules</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Data Security Assessments and Certifications</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$11,000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ISO 27001 readiness review; SOC 2 gap analysis; enterprise vendor security questionnaire support</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Enterprise Contract Legal Support</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$13,000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MSA templates, enterprise contract negotiation, IP assignments, partner agreements</w:t>
            </w:r>
          </w:p>
        </w:tc>
      </w:tr>
      <w:tr>
        <w:tc>
          <w:tcPr>
            <w:tcW w:type="dxa" w:w="3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Investor and Corporate Documentation</w:t>
            </w:r>
          </w:p>
        </w:tc>
        <w:tc>
          <w:tcPr>
            <w:tcW w:type="dxa" w:w="1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$6,000</w:t>
            </w:r>
          </w:p>
        </w:tc>
        <w:tc>
          <w:tcPr>
            <w:tcW w:type="dxa" w:w="44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Shareholder agreements, cap table management, ESOP documentation</w:t>
            </w:r>
          </w:p>
        </w:tc>
      </w:tr>
      <w:tr>
        <w:tc>
          <w:tcPr>
            <w:tcW w:type="dxa" w:w="3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General Administrative Overhead</w:t>
            </w:r>
          </w:p>
        </w:tc>
        <w:tc>
          <w:tcPr>
            <w:tcW w:type="dxa" w:w="1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sz w:val="18"/>
                <w:szCs w:val="18"/>
              </w:rPr>
              <w:t xml:space="preserve">$12,000</w:t>
            </w:r>
          </w:p>
        </w:tc>
        <w:tc>
          <w:tcPr>
            <w:tcW w:type="dxa" w:w="44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Software licences, D&amp;O insurance uplift, company operational costs, ASIC fees</w:t>
            </w:r>
          </w:p>
        </w:tc>
      </w:tr>
      <w:tr>
        <w:tc>
          <w:tcPr>
            <w:tcW w:type="dxa" w:w="340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TOTAL — Compliance, Legal and Admin</w:t>
            </w:r>
          </w:p>
        </w:tc>
        <w:tc>
          <w:tcPr>
            <w:tcW w:type="dxa" w:w="1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right"/>
            </w:pPr>
            <w:r>
              <w:rPr>
                <w:rFonts w:ascii="Arial" w:cs="Arial" w:eastAsia="Arial" w:hAnsi="Arial"/>
                <w:b/>
                <w:bCs/>
                <w:sz w:val="18"/>
                <w:szCs w:val="18"/>
              </w:rPr>
              <w:t xml:space="preserve">$56,500</w:t>
            </w:r>
          </w:p>
        </w:tc>
        <w:tc>
          <w:tcPr>
            <w:tcW w:type="dxa" w:w="4480"/>
            <w:tcBorders>
              <w:top w:val="single" w:color="B0C4DE" w:sz="1"/>
              <w:left w:val="single" w:color="B0C4DE" w:sz="1"/>
              <w:bottom w:val="single" w:color="B0C4DE" w:sz="1"/>
              <w:right w:val="single" w:color="B0C4DE" w:sz="1"/>
            </w:tcBorders>
            <w:shd w:fill="D6E4F7"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
            </w:r>
          </w:p>
        </w:tc>
      </w:tr>
    </w:tbl>
    <w:p>
      <w:pPr>
        <w:spacing w:after="80" w:before="80"/>
      </w:pPr>
    </w:p>
    <w:p>
      <w:pPr>
        <w:spacing w:after="60" w:before="200"/>
      </w:pPr>
      <w:r>
        <w:rPr>
          <w:rFonts w:ascii="Arial" w:cs="Arial" w:eastAsia="Arial" w:hAnsi="Arial"/>
          <w:b/>
          <w:bCs/>
          <w:color w:val="1B3A6B"/>
          <w:sz w:val="22"/>
          <w:szCs w:val="22"/>
        </w:rPr>
        <w:t xml:space="preserve">Target Outcomes — Category 5</w:t>
      </w:r>
    </w:p>
    <w:p>
      <w:pPr>
        <w:pStyle w:val="ListParagraph"/>
        <w:numPr>
          <w:ilvl w:val="0"/>
          <w:numId w:val="2"/>
        </w:numPr>
        <w:spacing w:after="40" w:before="40"/>
      </w:pPr>
      <w:r>
        <w:rPr>
          <w:rFonts w:ascii="Arial" w:cs="Arial" w:eastAsia="Arial" w:hAnsi="Arial"/>
          <w:sz w:val="20"/>
          <w:szCs w:val="20"/>
        </w:rPr>
        <w:t xml:space="preserve">Compliance framework in place supporting sales into healthcare, debt collection, and financial services verticals</w:t>
      </w:r>
    </w:p>
    <w:p>
      <w:pPr>
        <w:pStyle w:val="ListParagraph"/>
        <w:numPr>
          <w:ilvl w:val="0"/>
          <w:numId w:val="2"/>
        </w:numPr>
        <w:spacing w:after="40" w:before="40"/>
      </w:pPr>
      <w:r>
        <w:rPr>
          <w:rFonts w:ascii="Arial" w:cs="Arial" w:eastAsia="Arial" w:hAnsi="Arial"/>
          <w:sz w:val="20"/>
          <w:szCs w:val="20"/>
        </w:rPr>
        <w:t xml:space="preserve">Enterprise-grade MSA and contract templates operational, reducing legal review time in deals</w:t>
      </w:r>
    </w:p>
    <w:p>
      <w:pPr>
        <w:pStyle w:val="ListParagraph"/>
        <w:numPr>
          <w:ilvl w:val="0"/>
          <w:numId w:val="2"/>
        </w:numPr>
        <w:spacing w:after="40" w:before="40"/>
      </w:pPr>
      <w:r>
        <w:rPr>
          <w:rFonts w:ascii="Arial" w:cs="Arial" w:eastAsia="Arial" w:hAnsi="Arial"/>
          <w:sz w:val="20"/>
          <w:szCs w:val="20"/>
        </w:rPr>
        <w:t xml:space="preserve">SOC 2 gap analysis completed; roadmap in place for full certification if required by enterprise clients</w:t>
      </w:r>
    </w:p>
    <w:p>
      <w:pPr>
        <w:spacing w:after="80" w:before="80"/>
      </w:pPr>
    </w:p>
    <w:p>
      <w:r>
        <w:br w:type="page"/>
      </w:r>
    </w:p>
    <w:p>
      <w:pPr>
        <w:pStyle w:val="Heading1"/>
        <w:pBdr>
          <w:bottom w:val="single" w:color="1B3A6B" w:sz="6" w:space="4"/>
        </w:pBdr>
        <w:spacing w:after="120" w:before="360"/>
      </w:pPr>
      <w:r>
        <w:rPr>
          <w:rFonts w:ascii="Arial" w:cs="Arial" w:eastAsia="Arial" w:hAnsi="Arial"/>
          <w:b/>
          <w:bCs/>
          <w:color w:val="1B3A6B"/>
          <w:sz w:val="30"/>
          <w:szCs w:val="30"/>
        </w:rPr>
        <w:t xml:space="preserve">4.  Milestones and Deployment Timeline</w:t>
      </w:r>
    </w:p>
    <w:p>
      <w:pPr>
        <w:spacing w:after="60" w:before="60"/>
      </w:pPr>
      <w:r>
        <w:rPr>
          <w:rFonts w:ascii="Arial" w:cs="Arial" w:eastAsia="Arial" w:hAnsi="Arial"/>
          <w:sz w:val="20"/>
          <w:szCs w:val="20"/>
        </w:rPr>
        <w:t xml:space="preserve">The following milestones are targeted across the 12 to 18 month deployment period. ARR targets assume the full $1,200,000 raise is deployed according to plan.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Phase</w:t>
            </w:r>
          </w:p>
        </w:tc>
        <w:tc>
          <w:tcPr>
            <w:tcW w:type="dxa" w:w="24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Stage</w:t>
            </w:r>
          </w:p>
        </w:tc>
        <w:tc>
          <w:tcPr>
            <w:tcW w:type="dxa" w:w="476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Key Milestones</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Months 1–3</w:t>
            </w:r>
          </w:p>
        </w:tc>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Foundation</w:t>
            </w:r>
          </w:p>
        </w:tc>
        <w:tc>
          <w:tcPr>
            <w:tcW w:type="dxa" w:w="4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Sales recruitment (first 3 hires onboarded); GPU lease agreements executed; outbound tooling live; engineering recruitment commenced; partner conversations initiated in real estate and debt collection.</w:t>
            </w:r>
          </w:p>
        </w:tc>
      </w:tr>
      <w:tr>
        <w:tc>
          <w:tcPr>
            <w:tcW w:type="dxa" w:w="22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Months 4–6</w:t>
            </w:r>
          </w:p>
        </w:tc>
        <w:tc>
          <w:tcPr>
            <w:tcW w:type="dxa" w:w="2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Acceleration</w:t>
            </w:r>
          </w:p>
        </w:tc>
        <w:tc>
          <w:tcPr>
            <w:tcW w:type="dxa" w:w="476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All 5 sales hires ramped; GPU infrastructure fully operational with failover; both engineering hires contributing to roadmap; first channel partnership signed; CRM integrations shipped. ARR target: $1,800,000.</w:t>
            </w:r>
          </w:p>
        </w:tc>
      </w:tr>
      <w:tr>
        <w:tc>
          <w:tcPr>
            <w:tcW w:type="dxa" w:w="2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Months 7–12</w:t>
            </w:r>
          </w:p>
        </w:tc>
        <w:tc>
          <w:tcPr>
            <w:tcW w:type="dxa" w:w="24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Scale</w:t>
            </w:r>
          </w:p>
        </w:tc>
        <w:tc>
          <w:tcPr>
            <w:tcW w:type="dxa" w:w="476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Full sales team at productivity; multi-agent orchestration in production; client analytics dashboard launched; NRR program driving &gt;110%; international expansion groundwork. ARR target: $2,500,000–$3,000,000.</w:t>
            </w:r>
          </w:p>
        </w:tc>
      </w:tr>
      <w:tr>
        <w:tc>
          <w:tcPr>
            <w:tcW w:type="dxa" w:w="22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Months 13–18</w:t>
            </w:r>
          </w:p>
        </w:tc>
        <w:tc>
          <w:tcPr>
            <w:tcW w:type="dxa" w:w="24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bCs/>
                <w:sz w:val="18"/>
                <w:szCs w:val="18"/>
              </w:rPr>
              <w:t xml:space="preserve">Buffer / Series A Prep</w:t>
            </w:r>
          </w:p>
        </w:tc>
        <w:tc>
          <w:tcPr>
            <w:tcW w:type="dxa" w:w="476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Enterprise deals from months 9–12 closing; Series A raise preparation; first international client live. ARR target: $3,500,000+.</w:t>
            </w:r>
          </w:p>
        </w:tc>
      </w:tr>
    </w:tbl>
    <w:p>
      <w:pPr>
        <w:spacing w:after="80" w:before="80"/>
      </w:pPr>
    </w:p>
    <w:p>
      <w:pPr>
        <w:spacing w:after="60" w:before="60"/>
      </w:pPr>
      <w:r>
        <w:rPr>
          <w:rFonts w:ascii="Arial" w:cs="Arial" w:eastAsia="Arial" w:hAnsi="Arial"/>
          <w:sz w:val="20"/>
          <w:szCs w:val="20"/>
        </w:rPr>
        <w:t xml:space="preserve">The 13–18 month buffer period is built deliberately to accommodate enterprise sales cycles. It is not assumed to be idle capital — rather, it is the window in which deals initiated during months 7–12 close and convert to recognised ARR, and in which Series A materials are prepared based on a demonstrated trajectory.</w:t>
      </w:r>
    </w:p>
    <w:p>
      <w:pPr>
        <w:spacing w:after="80" w:before="80"/>
      </w:pPr>
    </w:p>
    <w:p>
      <w:pPr>
        <w:pStyle w:val="Heading1"/>
        <w:pBdr>
          <w:bottom w:val="single" w:color="1B3A6B" w:sz="6" w:space="4"/>
        </w:pBdr>
        <w:spacing w:after="120" w:before="360"/>
      </w:pPr>
      <w:r>
        <w:rPr>
          <w:rFonts w:ascii="Arial" w:cs="Arial" w:eastAsia="Arial" w:hAnsi="Arial"/>
          <w:b/>
          <w:bCs/>
          <w:color w:val="1B3A6B"/>
          <w:sz w:val="30"/>
          <w:szCs w:val="30"/>
        </w:rPr>
        <w:t xml:space="preserve">5.  Runway Analysis</w:t>
      </w:r>
    </w:p>
    <w:p>
      <w:pPr>
        <w:spacing w:after="60" w:before="200"/>
      </w:pPr>
      <w:r>
        <w:rPr>
          <w:rFonts w:ascii="Arial" w:cs="Arial" w:eastAsia="Arial" w:hAnsi="Arial"/>
          <w:b/>
          <w:bCs/>
          <w:color w:val="1B3A6B"/>
          <w:sz w:val="22"/>
          <w:szCs w:val="22"/>
        </w:rPr>
        <w:t xml:space="preserve">Current Position</w:t>
      </w:r>
    </w:p>
    <w:p>
      <w:pPr>
        <w:spacing w:after="60" w:before="60"/>
      </w:pPr>
      <w:r>
        <w:rPr>
          <w:rFonts w:ascii="Arial" w:cs="Arial" w:eastAsia="Arial" w:hAnsi="Arial"/>
          <w:sz w:val="20"/>
          <w:szCs w:val="20"/>
        </w:rPr>
        <w:t xml:space="preserve">Monthly Burn Rate:  $28,000</w:t>
      </w:r>
    </w:p>
    <w:p>
      <w:pPr>
        <w:spacing w:after="60" w:before="60"/>
      </w:pPr>
      <w:r>
        <w:rPr>
          <w:rFonts w:ascii="Arial" w:cs="Arial" w:eastAsia="Arial" w:hAnsi="Arial"/>
          <w:sz w:val="20"/>
          <w:szCs w:val="20"/>
        </w:rPr>
        <w:t xml:space="preserve">Current ARR:  $1,200,000</w:t>
      </w:r>
    </w:p>
    <w:p>
      <w:pPr>
        <w:spacing w:after="60" w:before="60"/>
      </w:pPr>
      <w:r>
        <w:rPr>
          <w:rFonts w:ascii="Arial" w:cs="Arial" w:eastAsia="Arial" w:hAnsi="Arial"/>
          <w:sz w:val="20"/>
          <w:szCs w:val="20"/>
        </w:rPr>
        <w:t xml:space="preserve">Current Monthly Revenue Run Rate:  ~$100,000</w:t>
      </w:r>
    </w:p>
    <w:p>
      <w:pPr>
        <w:spacing w:after="80" w:before="80"/>
      </w:pPr>
    </w:p>
    <w:p>
      <w:pPr>
        <w:spacing w:after="60" w:before="200"/>
      </w:pPr>
      <w:r>
        <w:rPr>
          <w:rFonts w:ascii="Arial" w:cs="Arial" w:eastAsia="Arial" w:hAnsi="Arial"/>
          <w:b/>
          <w:bCs/>
          <w:color w:val="1B3A6B"/>
          <w:sz w:val="22"/>
          <w:szCs w:val="22"/>
        </w:rPr>
        <w:t xml:space="preserve">Post-Raise Runway — Static and Scaled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Scenario</w:t>
            </w:r>
          </w:p>
        </w:tc>
        <w:tc>
          <w:tcPr>
            <w:tcW w:type="dxa" w:w="30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Full Raise ($1,200,000)</w:t>
            </w:r>
          </w:p>
        </w:tc>
        <w:tc>
          <w:tcPr>
            <w:tcW w:type="dxa" w:w="3080"/>
            <w:tcBorders>
              <w:top w:val="single" w:color="B0C4DE" w:sz="1"/>
              <w:left w:val="single" w:color="B0C4DE" w:sz="1"/>
              <w:bottom w:val="single" w:color="B0C4DE" w:sz="1"/>
              <w:right w:val="single" w:color="B0C4DE"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Minimum Raise ($600,000)</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Static runway (current burn $28k/mo)</w:t>
            </w:r>
          </w:p>
        </w:tc>
        <w:tc>
          <w:tcPr>
            <w:tcW w:type="dxa" w:w="30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~42.9 months</w:t>
            </w:r>
          </w:p>
        </w:tc>
        <w:tc>
          <w:tcPr>
            <w:tcW w:type="dxa" w:w="30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~21.4 months</w:t>
            </w:r>
          </w:p>
        </w:tc>
      </w:tr>
      <w:tr>
        <w:tc>
          <w:tcPr>
            <w:tcW w:type="dxa" w:w="32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Months 1–3 (burn ~$50–65k/mo)</w:t>
            </w:r>
          </w:p>
        </w:tc>
        <w:tc>
          <w:tcPr>
            <w:tcW w:type="dxa" w:w="30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16–21 months</w:t>
            </w:r>
          </w:p>
        </w:tc>
        <w:tc>
          <w:tcPr>
            <w:tcW w:type="dxa" w:w="30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8–10 months</w:t>
            </w:r>
          </w:p>
        </w:tc>
      </w:tr>
      <w:tr>
        <w:tc>
          <w:tcPr>
            <w:tcW w:type="dxa" w:w="320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Months 4–6 (burn ~$90–110k/mo)</w:t>
            </w:r>
          </w:p>
        </w:tc>
        <w:tc>
          <w:tcPr>
            <w:tcW w:type="dxa" w:w="30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11–13 months</w:t>
            </w:r>
          </w:p>
        </w:tc>
        <w:tc>
          <w:tcPr>
            <w:tcW w:type="dxa" w:w="3080"/>
            <w:tcBorders>
              <w:top w:val="single" w:color="B0C4DE" w:sz="1"/>
              <w:left w:val="single" w:color="B0C4DE" w:sz="1"/>
              <w:bottom w:val="single" w:color="B0C4DE" w:sz="1"/>
              <w:right w:val="single" w:color="B0C4D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5–6 months</w:t>
            </w:r>
          </w:p>
        </w:tc>
      </w:tr>
      <w:tr>
        <w:tc>
          <w:tcPr>
            <w:tcW w:type="dxa" w:w="320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Months 7–12 (ARR offsetting burn)</w:t>
            </w:r>
          </w:p>
        </w:tc>
        <w:tc>
          <w:tcPr>
            <w:tcW w:type="dxa" w:w="30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Extends materially as revenue scales</w:t>
            </w:r>
          </w:p>
        </w:tc>
        <w:tc>
          <w:tcPr>
            <w:tcW w:type="dxa" w:w="3080"/>
            <w:tcBorders>
              <w:top w:val="single" w:color="B0C4DE" w:sz="1"/>
              <w:left w:val="single" w:color="B0C4DE" w:sz="1"/>
              <w:bottom w:val="single" w:color="B0C4DE" w:sz="1"/>
              <w:right w:val="single" w:color="B0C4DE" w:sz="1"/>
            </w:tcBorders>
            <w:shd w:fill="EEF4FB" w:val="clear"/>
            <w:tcMar>
              <w:top w:type="dxa" w:w="80"/>
              <w:left w:type="dxa" w:w="140"/>
              <w:bottom w:type="dxa" w:w="80"/>
              <w:right w:type="dxa" w:w="140"/>
            </w:tcMar>
            <w:vAlign w:val="center"/>
          </w:tcPr>
          <w:p>
            <w:pPr>
              <w:jc w:val="left"/>
            </w:pPr>
            <w:r>
              <w:rPr>
                <w:rFonts w:ascii="Arial" w:cs="Arial" w:eastAsia="Arial" w:hAnsi="Arial"/>
                <w:b w:val="false"/>
                <w:bCs w:val="false"/>
                <w:sz w:val="18"/>
                <w:szCs w:val="18"/>
              </w:rPr>
              <w:t xml:space="preserve">Limited – prioritise GTM only</w:t>
            </w:r>
          </w:p>
        </w:tc>
      </w:tr>
    </w:tbl>
    <w:p>
      <w:pPr>
        <w:spacing w:after="80" w:before="80"/>
      </w:pPr>
    </w:p>
    <w:p>
      <w:pPr>
        <w:spacing w:after="60" w:before="60"/>
      </w:pPr>
      <w:r>
        <w:rPr>
          <w:rFonts w:ascii="Arial" w:cs="Arial" w:eastAsia="Arial" w:hAnsi="Arial"/>
          <w:sz w:val="20"/>
          <w:szCs w:val="20"/>
        </w:rPr>
        <w:t xml:space="preserve">At projected burn rates under the full raise scenario, the company targets cash-flow neutrality or positive unit economics before a Series A raise is required. The burn ramp in months 1–3 ($50–65k/month) reflects the lag between hiring decisions and full headcount cost — three sales hires and one engineering hire in the first quarter. The peak burn window of months 4–6 ($90–110k/month) coincides with full headcount and operational infrastructure reaching steady state, after which growing ARR begins to meaningfully offset cash consumption.</w:t>
      </w:r>
    </w:p>
    <w:p>
      <w:pPr>
        <w:spacing w:after="80" w:before="80"/>
      </w:pPr>
    </w:p>
    <w:p>
      <w:pPr>
        <w:spacing w:after="60" w:before="60"/>
      </w:pPr>
      <w:r>
        <w:rPr>
          <w:rFonts w:ascii="Arial" w:cs="Arial" w:eastAsia="Arial" w:hAnsi="Arial"/>
          <w:sz w:val="20"/>
          <w:szCs w:val="20"/>
        </w:rPr>
        <w:t xml:space="preserve">Under the minimum raise scenario of $600,000, the company will prioritise go-to-market hiring and product development and defer a portion of compute infrastructure and marketing investment. This scenario requires more careful capital pacing but is still expected to deliver meaningful ARR growth within the deployment period.</w:t>
      </w:r>
    </w:p>
    <w:p>
      <w:pPr>
        <w:spacing w:after="80" w:before="80"/>
      </w:pPr>
    </w:p>
    <w:p>
      <w:pPr>
        <w:pStyle w:val="Heading1"/>
        <w:pBdr>
          <w:bottom w:val="single" w:color="1B3A6B" w:sz="6" w:space="4"/>
        </w:pBdr>
        <w:spacing w:after="120" w:before="360"/>
      </w:pPr>
      <w:r>
        <w:rPr>
          <w:rFonts w:ascii="Arial" w:cs="Arial" w:eastAsia="Arial" w:hAnsi="Arial"/>
          <w:b/>
          <w:bCs/>
          <w:color w:val="1B3A6B"/>
          <w:sz w:val="30"/>
          <w:szCs w:val="30"/>
        </w:rPr>
        <w:t xml:space="preserve">6.  Expected Outcomes</w:t>
      </w:r>
    </w:p>
    <w:p>
      <w:pPr>
        <w:spacing w:after="60" w:before="60"/>
      </w:pPr>
      <w:r>
        <w:rPr>
          <w:rFonts w:ascii="Arial" w:cs="Arial" w:eastAsia="Arial" w:hAnsi="Arial"/>
          <w:sz w:val="20"/>
          <w:szCs w:val="20"/>
        </w:rPr>
        <w:t xml:space="preserve">Upon full deployment of the $1,200,000 raise, Voice AI Solutions Pty Ltd is expected to achieve the following state within 12 to 18 months:</w:t>
      </w:r>
    </w:p>
    <w:p>
      <w:pPr>
        <w:spacing w:after="80" w:before="80"/>
      </w:pPr>
    </w:p>
    <w:p>
      <w:pPr>
        <w:spacing w:after="60" w:before="200"/>
      </w:pPr>
      <w:r>
        <w:rPr>
          <w:rFonts w:ascii="Arial" w:cs="Arial" w:eastAsia="Arial" w:hAnsi="Arial"/>
          <w:b/>
          <w:bCs/>
          <w:color w:val="1B3A6B"/>
          <w:sz w:val="22"/>
          <w:szCs w:val="22"/>
        </w:rPr>
        <w:t xml:space="preserve">Revenue and Growth</w:t>
      </w:r>
    </w:p>
    <w:p>
      <w:pPr>
        <w:pStyle w:val="ListParagraph"/>
        <w:numPr>
          <w:ilvl w:val="0"/>
          <w:numId w:val="2"/>
        </w:numPr>
        <w:spacing w:after="40" w:before="40"/>
      </w:pPr>
      <w:r>
        <w:rPr>
          <w:rFonts w:ascii="Arial" w:cs="Arial" w:eastAsia="Arial" w:hAnsi="Arial"/>
          <w:sz w:val="20"/>
          <w:szCs w:val="20"/>
        </w:rPr>
        <w:t xml:space="preserve">ARR of $2,500,000–$3,000,000, representing 2.1x–2.5x growth from current ARR of $1,200,000</w:t>
      </w:r>
    </w:p>
    <w:p>
      <w:pPr>
        <w:pStyle w:val="ListParagraph"/>
        <w:numPr>
          <w:ilvl w:val="0"/>
          <w:numId w:val="2"/>
        </w:numPr>
        <w:spacing w:after="40" w:before="40"/>
      </w:pPr>
      <w:r>
        <w:rPr>
          <w:rFonts w:ascii="Arial" w:cs="Arial" w:eastAsia="Arial" w:hAnsi="Arial"/>
          <w:sz w:val="20"/>
          <w:szCs w:val="20"/>
        </w:rPr>
        <w:t xml:space="preserve">Predictable monthly recurring revenue with measurable, consistent month-on-month growth</w:t>
      </w:r>
    </w:p>
    <w:p>
      <w:pPr>
        <w:pStyle w:val="ListParagraph"/>
        <w:numPr>
          <w:ilvl w:val="0"/>
          <w:numId w:val="2"/>
        </w:numPr>
        <w:spacing w:after="40" w:before="40"/>
      </w:pPr>
      <w:r>
        <w:rPr>
          <w:rFonts w:ascii="Arial" w:cs="Arial" w:eastAsia="Arial" w:hAnsi="Arial"/>
          <w:sz w:val="20"/>
          <w:szCs w:val="20"/>
        </w:rPr>
        <w:t xml:space="preserve">Net revenue retention above 110%, driven by expansion selling and strong client outcomes</w:t>
      </w:r>
    </w:p>
    <w:p>
      <w:pPr>
        <w:spacing w:after="80" w:before="80"/>
      </w:pPr>
    </w:p>
    <w:p>
      <w:pPr>
        <w:spacing w:after="60" w:before="200"/>
      </w:pPr>
      <w:r>
        <w:rPr>
          <w:rFonts w:ascii="Arial" w:cs="Arial" w:eastAsia="Arial" w:hAnsi="Arial"/>
          <w:b/>
          <w:bCs/>
          <w:color w:val="1B3A6B"/>
          <w:sz w:val="22"/>
          <w:szCs w:val="22"/>
        </w:rPr>
        <w:t xml:space="preserve">Commercial Infrastructure</w:t>
      </w:r>
    </w:p>
    <w:p>
      <w:pPr>
        <w:pStyle w:val="ListParagraph"/>
        <w:numPr>
          <w:ilvl w:val="0"/>
          <w:numId w:val="2"/>
        </w:numPr>
        <w:spacing w:after="40" w:before="40"/>
      </w:pPr>
      <w:r>
        <w:rPr>
          <w:rFonts w:ascii="Arial" w:cs="Arial" w:eastAsia="Arial" w:hAnsi="Arial"/>
          <w:sz w:val="20"/>
          <w:szCs w:val="20"/>
        </w:rPr>
        <w:t xml:space="preserve">A team of 5 fully ramped B2B sales professionals with individual pipeline accountability and defined quotas</w:t>
      </w:r>
    </w:p>
    <w:p>
      <w:pPr>
        <w:pStyle w:val="ListParagraph"/>
        <w:numPr>
          <w:ilvl w:val="0"/>
          <w:numId w:val="2"/>
        </w:numPr>
        <w:spacing w:after="40" w:before="40"/>
      </w:pPr>
      <w:r>
        <w:rPr>
          <w:rFonts w:ascii="Arial" w:cs="Arial" w:eastAsia="Arial" w:hAnsi="Arial"/>
          <w:sz w:val="20"/>
          <w:szCs w:val="20"/>
        </w:rPr>
        <w:t xml:space="preserve">Active channel partnerships in at least two of the three priority verticals (real estate, debt collection, healthcare)</w:t>
      </w:r>
    </w:p>
    <w:p>
      <w:pPr>
        <w:pStyle w:val="ListParagraph"/>
        <w:numPr>
          <w:ilvl w:val="0"/>
          <w:numId w:val="2"/>
        </w:numPr>
        <w:spacing w:after="40" w:before="40"/>
      </w:pPr>
      <w:r>
        <w:rPr>
          <w:rFonts w:ascii="Arial" w:cs="Arial" w:eastAsia="Arial" w:hAnsi="Arial"/>
          <w:sz w:val="20"/>
          <w:szCs w:val="20"/>
        </w:rPr>
        <w:t xml:space="preserve">A structured, repeatable go-to-market motion with defined ICP, sales playbook, and pipeline metrics</w:t>
      </w:r>
    </w:p>
    <w:p>
      <w:pPr>
        <w:spacing w:after="80" w:before="80"/>
      </w:pPr>
    </w:p>
    <w:p>
      <w:pPr>
        <w:spacing w:after="60" w:before="200"/>
      </w:pPr>
      <w:r>
        <w:rPr>
          <w:rFonts w:ascii="Arial" w:cs="Arial" w:eastAsia="Arial" w:hAnsi="Arial"/>
          <w:b/>
          <w:bCs/>
          <w:color w:val="1B3A6B"/>
          <w:sz w:val="22"/>
          <w:szCs w:val="22"/>
        </w:rPr>
        <w:t xml:space="preserve">Product and Technology</w:t>
      </w:r>
    </w:p>
    <w:p>
      <w:pPr>
        <w:pStyle w:val="ListParagraph"/>
        <w:numPr>
          <w:ilvl w:val="0"/>
          <w:numId w:val="2"/>
        </w:numPr>
        <w:spacing w:after="40" w:before="40"/>
      </w:pPr>
      <w:r>
        <w:rPr>
          <w:rFonts w:ascii="Arial" w:cs="Arial" w:eastAsia="Arial" w:hAnsi="Arial"/>
          <w:sz w:val="20"/>
          <w:szCs w:val="20"/>
        </w:rPr>
        <w:t xml:space="preserve">A platform capable of supporting 5x current client volume without performance degradation</w:t>
      </w:r>
    </w:p>
    <w:p>
      <w:pPr>
        <w:pStyle w:val="ListParagraph"/>
        <w:numPr>
          <w:ilvl w:val="0"/>
          <w:numId w:val="2"/>
        </w:numPr>
        <w:spacing w:after="40" w:before="40"/>
      </w:pPr>
      <w:r>
        <w:rPr>
          <w:rFonts w:ascii="Arial" w:cs="Arial" w:eastAsia="Arial" w:hAnsi="Arial"/>
          <w:sz w:val="20"/>
          <w:szCs w:val="20"/>
        </w:rPr>
        <w:t xml:space="preserve">Multi-agent orchestration, advanced analytics, and deep CRM integrations in production</w:t>
      </w:r>
    </w:p>
    <w:p>
      <w:pPr>
        <w:pStyle w:val="ListParagraph"/>
        <w:numPr>
          <w:ilvl w:val="0"/>
          <w:numId w:val="2"/>
        </w:numPr>
        <w:spacing w:after="40" w:before="40"/>
      </w:pPr>
      <w:r>
        <w:rPr>
          <w:rFonts w:ascii="Arial" w:cs="Arial" w:eastAsia="Arial" w:hAnsi="Arial"/>
          <w:sz w:val="20"/>
          <w:szCs w:val="20"/>
        </w:rPr>
        <w:t xml:space="preserve">Average deployment time reduced by 50% or more from current baseline</w:t>
      </w:r>
    </w:p>
    <w:p>
      <w:pPr>
        <w:pStyle w:val="ListParagraph"/>
        <w:numPr>
          <w:ilvl w:val="0"/>
          <w:numId w:val="2"/>
        </w:numPr>
        <w:spacing w:after="40" w:before="40"/>
      </w:pPr>
      <w:r>
        <w:rPr>
          <w:rFonts w:ascii="Arial" w:cs="Arial" w:eastAsia="Arial" w:hAnsi="Arial"/>
          <w:sz w:val="20"/>
          <w:szCs w:val="20"/>
        </w:rPr>
        <w:t xml:space="preserve">Dedicated GPU infrastructure in Australia operational, delivering per-call cost advantages and data sovereignty compliance</w:t>
      </w:r>
    </w:p>
    <w:p>
      <w:pPr>
        <w:spacing w:after="80" w:before="80"/>
      </w:pPr>
    </w:p>
    <w:p>
      <w:pPr>
        <w:spacing w:after="60" w:before="200"/>
      </w:pPr>
      <w:r>
        <w:rPr>
          <w:rFonts w:ascii="Arial" w:cs="Arial" w:eastAsia="Arial" w:hAnsi="Arial"/>
          <w:b/>
          <w:bCs/>
          <w:color w:val="1B3A6B"/>
          <w:sz w:val="22"/>
          <w:szCs w:val="22"/>
        </w:rPr>
        <w:t xml:space="preserve">Team and Operations</w:t>
      </w:r>
    </w:p>
    <w:p>
      <w:pPr>
        <w:pStyle w:val="ListParagraph"/>
        <w:numPr>
          <w:ilvl w:val="0"/>
          <w:numId w:val="2"/>
        </w:numPr>
        <w:spacing w:after="40" w:before="40"/>
      </w:pPr>
      <w:r>
        <w:rPr>
          <w:rFonts w:ascii="Arial" w:cs="Arial" w:eastAsia="Arial" w:hAnsi="Arial"/>
          <w:sz w:val="20"/>
          <w:szCs w:val="20"/>
        </w:rPr>
        <w:t xml:space="preserve">Headcount grown from 4 to approximately 10–12 full-time employees across sales, engineering, and customer success</w:t>
      </w:r>
    </w:p>
    <w:p>
      <w:pPr>
        <w:pStyle w:val="ListParagraph"/>
        <w:numPr>
          <w:ilvl w:val="0"/>
          <w:numId w:val="2"/>
        </w:numPr>
        <w:spacing w:after="40" w:before="40"/>
      </w:pPr>
      <w:r>
        <w:rPr>
          <w:rFonts w:ascii="Arial" w:cs="Arial" w:eastAsia="Arial" w:hAnsi="Arial"/>
          <w:sz w:val="20"/>
          <w:szCs w:val="20"/>
        </w:rPr>
        <w:t xml:space="preserve">Customer success function operational with defined onboarding, QA, and account expansion processes</w:t>
      </w:r>
    </w:p>
    <w:p>
      <w:pPr>
        <w:pStyle w:val="ListParagraph"/>
        <w:numPr>
          <w:ilvl w:val="0"/>
          <w:numId w:val="2"/>
        </w:numPr>
        <w:spacing w:after="40" w:before="40"/>
      </w:pPr>
      <w:r>
        <w:rPr>
          <w:rFonts w:ascii="Arial" w:cs="Arial" w:eastAsia="Arial" w:hAnsi="Arial"/>
          <w:sz w:val="20"/>
          <w:szCs w:val="20"/>
        </w:rPr>
        <w:t xml:space="preserve">Compliance framework in place supporting sales into regulated verticals and accelerating enterprise procurement cycles</w:t>
      </w:r>
    </w:p>
    <w:p>
      <w:pPr>
        <w:spacing w:after="80" w:before="80"/>
      </w:pPr>
    </w:p>
    <w:p>
      <w:pPr>
        <w:spacing w:after="60" w:before="200"/>
      </w:pPr>
      <w:r>
        <w:rPr>
          <w:rFonts w:ascii="Arial" w:cs="Arial" w:eastAsia="Arial" w:hAnsi="Arial"/>
          <w:b/>
          <w:bCs/>
          <w:color w:val="1B3A6B"/>
          <w:sz w:val="22"/>
          <w:szCs w:val="22"/>
        </w:rPr>
        <w:t xml:space="preserve">Fundraising Position</w:t>
      </w:r>
    </w:p>
    <w:p>
      <w:pPr>
        <w:pStyle w:val="ListParagraph"/>
        <w:numPr>
          <w:ilvl w:val="0"/>
          <w:numId w:val="2"/>
        </w:numPr>
        <w:spacing w:after="40" w:before="40"/>
      </w:pPr>
      <w:r>
        <w:rPr>
          <w:rFonts w:ascii="Arial" w:cs="Arial" w:eastAsia="Arial" w:hAnsi="Arial"/>
          <w:sz w:val="20"/>
          <w:szCs w:val="20"/>
        </w:rPr>
        <w:t xml:space="preserve">Company positioned for a Series A raise on the strength of demonstrated ARR trajectory, expanding enterprise client base, and scalable, defensible infrastructure</w:t>
      </w:r>
    </w:p>
    <w:p>
      <w:pPr>
        <w:pStyle w:val="ListParagraph"/>
        <w:numPr>
          <w:ilvl w:val="0"/>
          <w:numId w:val="2"/>
        </w:numPr>
        <w:spacing w:after="40" w:before="40"/>
      </w:pPr>
      <w:r>
        <w:rPr>
          <w:rFonts w:ascii="Arial" w:cs="Arial" w:eastAsia="Arial" w:hAnsi="Arial"/>
          <w:sz w:val="20"/>
          <w:szCs w:val="20"/>
        </w:rPr>
        <w:t xml:space="preserve">Clear path to $6,000,000–$8,000,000 ARR with Series A capital deployed</w:t>
      </w:r>
    </w:p>
    <w:p>
      <w:pPr>
        <w:spacing w:after="80" w:before="80"/>
      </w:pPr>
    </w:p>
    <w:p>
      <w:pPr>
        <w:pBdr>
          <w:top w:val="single" w:color="2C5F9E" w:sz="8" w:space="4"/>
          <w:right w:val="single" w:color="2C5F9E" w:sz="8" w:space="4"/>
        </w:pBdr>
        <w:spacing w:after="40" w:before="120"/>
        <w:ind w:left="360" w:right="360"/>
      </w:pPr>
      <w:r>
        <w:rPr>
          <w:rFonts w:ascii="Arial" w:cs="Arial" w:eastAsia="Arial" w:hAnsi="Arial"/>
          <w:i/>
          <w:iCs/>
          <w:sz w:val="20"/>
          <w:szCs w:val="20"/>
        </w:rPr>
        <w:t xml:space="preserve">Voice AI Solutions enters this raise with exceptional early momentum.</w:t>
      </w:r>
    </w:p>
    <w:p>
      <w:pPr>
        <w:pBdr>
          <w:right w:val="single" w:color="2C5F9E" w:sz="8" w:space="4"/>
        </w:pBdr>
        <w:spacing w:after="40" w:before="40"/>
        <w:ind w:left="360" w:right="360"/>
      </w:pPr>
      <w:r>
        <w:rPr>
          <w:rFonts w:ascii="Arial" w:cs="Arial" w:eastAsia="Arial" w:hAnsi="Arial"/>
          <w:i/>
          <w:iCs/>
          <w:sz w:val="20"/>
          <w:szCs w:val="20"/>
        </w:rPr>
        <w:t xml:space="preserve">$1.2M ARR in six months from a four-person team is a remarkable commercial achievement.</w:t>
      </w:r>
    </w:p>
    <w:p>
      <w:pPr>
        <w:pBdr>
          <w:right w:val="single" w:color="2C5F9E" w:sz="8" w:space="4"/>
        </w:pBdr>
        <w:spacing w:after="40" w:before="40"/>
        <w:ind w:left="360" w:right="360"/>
      </w:pPr>
      <w:r>
        <w:rPr>
          <w:rFonts w:ascii="Arial" w:cs="Arial" w:eastAsia="Arial" w:hAnsi="Arial"/>
          <w:i/>
          <w:iCs/>
          <w:sz w:val="20"/>
          <w:szCs w:val="20"/>
        </w:rPr>
        <w:t xml:space="preserve">This capital will transform that early traction into a durable, scalable revenue engine — and position</w:t>
      </w:r>
    </w:p>
    <w:p>
      <w:pPr>
        <w:pBdr>
          <w:bottom w:val="single" w:color="2C5F9E" w:sz="8" w:space="4"/>
          <w:right w:val="single" w:color="2C5F9E" w:sz="8" w:space="4"/>
        </w:pBdr>
        <w:spacing w:after="120" w:before="40"/>
        <w:ind w:left="360" w:right="360"/>
      </w:pPr>
      <w:r>
        <w:rPr>
          <w:rFonts w:ascii="Arial" w:cs="Arial" w:eastAsia="Arial" w:hAnsi="Arial"/>
          <w:i/>
          <w:iCs/>
          <w:sz w:val="20"/>
          <w:szCs w:val="20"/>
        </w:rPr>
        <w:t xml:space="preserve">the company as the leading voice AI platform for enterprise clients in Australia and beyond.</w:t>
      </w:r>
    </w:p>
    <w:p>
      <w:pPr>
        <w:spacing w:after="80" w:before="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80" w:before="280"/>
      <w:outlineLvl w:val="1"/>
    </w:pPr>
    <w:rPr>
      <w:rFonts w:ascii="Arial" w:cs="Arial" w:eastAsia="Arial" w:hAnsi="Arial"/>
      <w:b/>
      <w:bCs/>
      <w:color w:val="2C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2026-04-27T01:08:26.403Z</dcterms:created>
  <dcterms:modified xsi:type="dcterms:W3CDTF">2026-04-27T01:08:26.404Z</dcterms:modified>
</cp:coreProperties>
</file>

<file path=docProps/custom.xml><?xml version="1.0" encoding="utf-8"?>
<Properties xmlns="http://schemas.openxmlformats.org/officeDocument/2006/custom-properties" xmlns:vt="http://schemas.openxmlformats.org/officeDocument/2006/docPropsVTypes"/>
</file>