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jc w:val="center"/>
        <w:rPr/>
      </w:pPr>
      <w:r>
        <w:rPr>
          <w:rFonts w:eastAsia="Arial" w:cs="Arial"/>
          <w:b/>
          <w:bCs/>
          <w:color w:val="1B3A6B"/>
          <w:sz w:val="44"/>
          <w:szCs w:val="44"/>
        </w:rPr>
        <w:t>Voice AI Solutions Pty Ltd</w:t>
      </w:r>
    </w:p>
    <w:p>
      <w:pPr>
        <w:pStyle w:val="Normal"/>
        <w:spacing w:before="0" w:after="60"/>
        <w:jc w:val="center"/>
        <w:rPr/>
      </w:pPr>
      <w:r>
        <w:rPr>
          <w:rFonts w:eastAsia="Arial" w:cs="Arial"/>
          <w:b/>
          <w:bCs/>
          <w:color w:val="2C5F9E"/>
          <w:sz w:val="34"/>
          <w:szCs w:val="34"/>
        </w:rPr>
        <w:t>Use of Proceeds</w:t>
      </w:r>
    </w:p>
    <w:p>
      <w:pPr>
        <w:pStyle w:val="Normal"/>
        <w:spacing w:before="0" w:after="40"/>
        <w:jc w:val="center"/>
        <w:rPr/>
      </w:pPr>
      <w:r>
        <w:rPr>
          <w:rFonts w:eastAsia="Arial" w:cs="Arial"/>
          <w:color w:val="555555"/>
          <w:sz w:val="22"/>
          <w:szCs w:val="22"/>
        </w:rPr>
        <w:t xml:space="preserve">Seed Equity Round  ·  $1,200,000   -  $500,000 </w:t>
      </w:r>
    </w:p>
    <w:p>
      <w:pPr>
        <w:pStyle w:val="Normal"/>
        <w:spacing w:before="0" w:after="480"/>
        <w:jc w:val="center"/>
        <w:rPr/>
      </w:pPr>
      <w:r>
        <w:rPr>
          <w:rFonts w:eastAsia="Arial" w:cs="Arial"/>
          <w:i/>
          <w:iCs/>
          <w:color w:val="888888"/>
          <w:sz w:val="20"/>
          <w:szCs w:val="20"/>
        </w:rPr>
        <w:t>Prepared for Investor Review  ·  2025</w:t>
      </w:r>
    </w:p>
    <w:p>
      <w:pPr>
        <w:pStyle w:val="Normal"/>
        <w:spacing w:before="40" w:after="40"/>
        <w:rPr/>
      </w:pPr>
      <w:r>
        <w:rPr>
          <w:rFonts w:eastAsia="Arial" w:cs="Arial"/>
          <w:b/>
          <w:bCs/>
          <w:color w:val="1B3A6B"/>
          <w:sz w:val="20"/>
          <w:szCs w:val="20"/>
        </w:rPr>
        <w:t xml:space="preserve">Company:  </w:t>
      </w:r>
      <w:r>
        <w:rPr>
          <w:rFonts w:eastAsia="Arial" w:cs="Arial"/>
          <w:sz w:val="20"/>
          <w:szCs w:val="20"/>
        </w:rPr>
        <w:t>Voice AI Solutions Pty Ltd (trading as Conversational AI)</w:t>
      </w:r>
    </w:p>
    <w:p>
      <w:pPr>
        <w:pStyle w:val="Normal"/>
        <w:spacing w:before="40" w:after="40"/>
        <w:rPr/>
      </w:pPr>
      <w:r>
        <w:rPr>
          <w:rFonts w:eastAsia="Arial" w:cs="Arial"/>
          <w:b/>
          <w:bCs/>
          <w:color w:val="1B3A6B"/>
          <w:sz w:val="20"/>
          <w:szCs w:val="20"/>
        </w:rPr>
        <w:t xml:space="preserve">Website:  </w:t>
      </w:r>
      <w:r>
        <w:rPr>
          <w:rFonts w:eastAsia="Arial" w:cs="Arial"/>
          <w:sz w:val="20"/>
          <w:szCs w:val="20"/>
        </w:rPr>
        <w:t>conversationalai.com.au</w:t>
      </w:r>
    </w:p>
    <w:p>
      <w:pPr>
        <w:pStyle w:val="Normal"/>
        <w:spacing w:before="40" w:after="40"/>
        <w:rPr/>
      </w:pPr>
      <w:r>
        <w:rPr>
          <w:rFonts w:eastAsia="Arial" w:cs="Arial"/>
          <w:b/>
          <w:bCs/>
          <w:color w:val="1B3A6B"/>
          <w:sz w:val="20"/>
          <w:szCs w:val="20"/>
        </w:rPr>
        <w:t xml:space="preserve">Incorporated:  </w:t>
      </w:r>
      <w:r>
        <w:rPr>
          <w:rFonts w:eastAsia="Arial" w:cs="Arial"/>
          <w:sz w:val="20"/>
          <w:szCs w:val="20"/>
        </w:rPr>
        <w:t>13 January 2025, New South Wales, Australia</w:t>
      </w:r>
    </w:p>
    <w:p>
      <w:pPr>
        <w:pStyle w:val="Normal"/>
        <w:spacing w:before="40" w:after="40"/>
        <w:rPr/>
      </w:pPr>
      <w:r>
        <w:rPr>
          <w:rFonts w:eastAsia="Arial" w:cs="Arial"/>
          <w:b/>
          <w:bCs/>
          <w:color w:val="1B3A6B"/>
          <w:sz w:val="20"/>
          <w:szCs w:val="20"/>
        </w:rPr>
        <w:t xml:space="preserve">Headquarters:  </w:t>
      </w:r>
      <w:r>
        <w:rPr>
          <w:rFonts w:eastAsia="Arial" w:cs="Arial"/>
          <w:sz w:val="20"/>
          <w:szCs w:val="20"/>
        </w:rPr>
        <w:t>Sydney, Australia</w:t>
      </w:r>
    </w:p>
    <w:p>
      <w:pPr>
        <w:pStyle w:val="Normal"/>
        <w:spacing w:before="40" w:after="40"/>
        <w:rPr/>
      </w:pPr>
      <w:r>
        <w:rPr>
          <w:rFonts w:eastAsia="Arial" w:cs="Arial"/>
          <w:b/>
          <w:bCs/>
          <w:color w:val="1B3A6B"/>
          <w:sz w:val="20"/>
          <w:szCs w:val="20"/>
        </w:rPr>
        <w:t xml:space="preserve">Raise Type:  </w:t>
      </w:r>
      <w:r>
        <w:rPr>
          <w:rFonts w:eastAsia="Arial" w:cs="Arial"/>
          <w:sz w:val="20"/>
          <w:szCs w:val="20"/>
        </w:rPr>
        <w:t>Equity — Seed</w:t>
      </w:r>
    </w:p>
    <w:p>
      <w:pPr>
        <w:pStyle w:val="Normal"/>
        <w:spacing w:before="40" w:after="40"/>
        <w:rPr/>
      </w:pPr>
      <w:r>
        <w:rPr>
          <w:rFonts w:eastAsia="Arial" w:cs="Arial"/>
          <w:b/>
          <w:bCs/>
          <w:color w:val="1B3A6B"/>
          <w:sz w:val="20"/>
          <w:szCs w:val="20"/>
        </w:rPr>
        <w:t xml:space="preserve">Target Raise:  </w:t>
      </w:r>
      <w:r>
        <w:rPr>
          <w:rFonts w:eastAsia="Arial" w:cs="Arial"/>
          <w:sz w:val="20"/>
          <w:szCs w:val="20"/>
        </w:rPr>
        <w:t>$1,200,000</w:t>
      </w:r>
    </w:p>
    <w:p>
      <w:pPr>
        <w:pStyle w:val="Normal"/>
        <w:spacing w:before="40" w:after="40"/>
        <w:rPr/>
      </w:pPr>
      <w:r>
        <w:rPr>
          <w:rFonts w:eastAsia="Arial" w:cs="Arial"/>
          <w:b/>
          <w:bCs/>
          <w:color w:val="1B3A6B"/>
          <w:sz w:val="20"/>
          <w:szCs w:val="20"/>
        </w:rPr>
        <w:t xml:space="preserve">Minimum Raise:  </w:t>
      </w:r>
      <w:r>
        <w:rPr>
          <w:rFonts w:eastAsia="Arial" w:cs="Arial"/>
          <w:sz w:val="20"/>
          <w:szCs w:val="20"/>
        </w:rPr>
        <w:t>$500,000</w:t>
      </w:r>
    </w:p>
    <w:p>
      <w:pPr>
        <w:pStyle w:val="Normal"/>
        <w:spacing w:before="40" w:after="40"/>
        <w:rPr/>
      </w:pPr>
      <w:r>
        <w:rPr>
          <w:rFonts w:eastAsia="Arial" w:cs="Arial"/>
          <w:b/>
          <w:bCs/>
          <w:color w:val="1B3A6B"/>
          <w:sz w:val="20"/>
          <w:szCs w:val="20"/>
        </w:rPr>
        <w:t xml:space="preserve">Current Monthly Burn:  </w:t>
      </w:r>
      <w:r>
        <w:rPr>
          <w:rFonts w:eastAsia="Arial" w:cs="Arial"/>
          <w:sz w:val="20"/>
          <w:szCs w:val="20"/>
        </w:rPr>
        <w:t>$28,000</w:t>
      </w:r>
    </w:p>
    <w:p>
      <w:pPr>
        <w:pStyle w:val="Normal"/>
        <w:spacing w:before="40" w:after="40"/>
        <w:rPr/>
      </w:pPr>
      <w:r>
        <w:rPr>
          <w:rFonts w:eastAsia="Arial" w:cs="Arial"/>
          <w:b/>
          <w:bCs/>
          <w:color w:val="1B3A6B"/>
          <w:sz w:val="20"/>
          <w:szCs w:val="20"/>
        </w:rPr>
        <w:t xml:space="preserve">Current Headcount:  </w:t>
      </w:r>
      <w:r>
        <w:rPr>
          <w:rFonts w:eastAsia="Arial" w:cs="Arial"/>
          <w:sz w:val="20"/>
          <w:szCs w:val="20"/>
        </w:rPr>
        <w:t>4 (including 2 co-founders)</w:t>
      </w:r>
    </w:p>
    <w:p>
      <w:pPr>
        <w:pStyle w:val="Normal"/>
        <w:spacing w:before="40" w:after="40"/>
        <w:rPr/>
      </w:pPr>
      <w:r>
        <w:rPr>
          <w:rFonts w:eastAsia="Arial" w:cs="Arial"/>
          <w:b/>
          <w:bCs/>
          <w:color w:val="1B3A6B"/>
          <w:sz w:val="20"/>
          <w:szCs w:val="20"/>
        </w:rPr>
        <w:t xml:space="preserve">Primary Deployment:  </w:t>
      </w:r>
      <w:r>
        <w:rPr>
          <w:rFonts w:eastAsia="Arial" w:cs="Arial"/>
          <w:sz w:val="20"/>
          <w:szCs w:val="20"/>
        </w:rPr>
        <w:t>12 months</w:t>
      </w:r>
    </w:p>
    <w:p>
      <w:pPr>
        <w:pStyle w:val="Normal"/>
        <w:spacing w:before="40" w:after="40"/>
        <w:rPr/>
      </w:pPr>
      <w:r>
        <w:rPr>
          <w:rFonts w:eastAsia="Arial" w:cs="Arial"/>
          <w:b/>
          <w:bCs/>
          <w:color w:val="1B3A6B"/>
          <w:sz w:val="20"/>
          <w:szCs w:val="20"/>
        </w:rPr>
        <w:t xml:space="preserve">Buffer Period:  </w:t>
      </w:r>
      <w:r>
        <w:rPr>
          <w:rFonts w:eastAsia="Arial" w:cs="Arial"/>
          <w:sz w:val="20"/>
          <w:szCs w:val="20"/>
        </w:rPr>
        <w:t>6 months (months 13–18)</w:t>
      </w:r>
    </w:p>
    <w:p>
      <w:pPr>
        <w:pStyle w:val="Normal"/>
        <w:spacing w:before="80" w:after="80"/>
        <w:rPr/>
      </w:pPr>
      <w:r>
        <w:rPr/>
      </w:r>
    </w:p>
    <w:p>
      <w:pPr>
        <w:pStyle w:val="Normal"/>
        <w:rPr/>
      </w:pPr>
      <w:r>
        <w:rPr/>
      </w:r>
      <w:r>
        <w:br w:type="page"/>
      </w:r>
    </w:p>
    <w:p>
      <w:pPr>
        <w:pStyle w:val="Normal"/>
        <w:pBdr>
          <w:bottom w:val="single" w:sz="6" w:space="4" w:color="1B3A6B"/>
        </w:pBdr>
        <w:spacing w:before="0" w:after="120"/>
        <w:rPr/>
      </w:pPr>
      <w:r>
        <w:rPr>
          <w:rFonts w:eastAsia="Arial" w:cs="Arial"/>
          <w:b/>
          <w:bCs/>
          <w:color w:val="1B3A6B"/>
          <w:sz w:val="30"/>
          <w:szCs w:val="30"/>
        </w:rPr>
        <w:t>1.  Executive Summary</w:t>
      </w:r>
    </w:p>
    <w:p>
      <w:pPr>
        <w:pStyle w:val="Normal"/>
        <w:spacing w:before="60" w:after="60"/>
        <w:rPr/>
      </w:pPr>
      <w:r>
        <w:rPr>
          <w:rFonts w:eastAsia="Arial" w:cs="Arial"/>
          <w:sz w:val="20"/>
          <w:szCs w:val="20"/>
        </w:rPr>
        <w:t>Voice AI Solutions Pty Ltd is raising up to $1,200,000 in seed equity to build the go-to-market engine, product infrastructure, and operational foundation required to scale its conversational AI platform across Australian enterprise verticals. The company is incorporated in New South Wales, has been operational since January 2025, and is targeting regulated, high-volume industries including real estate, debt collection, and healthcare as its primary commercial markets.</w:t>
      </w:r>
    </w:p>
    <w:p>
      <w:pPr>
        <w:pStyle w:val="Normal"/>
        <w:spacing w:before="80" w:after="80"/>
        <w:rPr/>
      </w:pPr>
      <w:r>
        <w:rPr/>
      </w:r>
    </w:p>
    <w:p>
      <w:pPr>
        <w:pStyle w:val="Normal"/>
        <w:spacing w:before="60" w:after="60"/>
        <w:rPr/>
      </w:pPr>
      <w:r>
        <w:rPr>
          <w:rFonts w:eastAsia="Arial" w:cs="Arial"/>
          <w:sz w:val="20"/>
          <w:szCs w:val="20"/>
        </w:rPr>
        <w:t>This raise is structured primarily as a go-to-market acceleration round. The largest allocation (40.1%) funds dedicated sales capacity and demand generation. The balance funds continued product and engineering investment, secured Australian GPU compute infrastructure that enables data sovereignty compliance, a customer success function to drive retention and expansion, and the legal and compliance foundation required to operate at enterprise scale in regulated verticals.</w:t>
      </w:r>
    </w:p>
    <w:p>
      <w:pPr>
        <w:pStyle w:val="Normal"/>
        <w:spacing w:before="80" w:after="80"/>
        <w:rPr/>
      </w:pPr>
      <w:r>
        <w:rPr/>
      </w:r>
    </w:p>
    <w:p>
      <w:pPr>
        <w:pStyle w:val="Normal"/>
        <w:spacing w:before="60" w:after="60"/>
        <w:rPr/>
      </w:pPr>
      <w:r>
        <w:rPr>
          <w:rFonts w:eastAsia="Arial" w:cs="Arial"/>
          <w:sz w:val="20"/>
          <w:szCs w:val="20"/>
        </w:rPr>
        <w:t>Two deployment scenarios are presented in this document:</w:t>
      </w:r>
    </w:p>
    <w:p>
      <w:pPr>
        <w:pStyle w:val="Normal"/>
        <w:spacing w:before="80" w:after="80"/>
        <w:rPr/>
      </w:pPr>
      <w:r>
        <w:rPr/>
      </w:r>
    </w:p>
    <w:p>
      <w:pPr>
        <w:pStyle w:val="ListParagraph"/>
        <w:numPr>
          <w:ilvl w:val="0"/>
          <w:numId w:val="3"/>
        </w:numPr>
        <w:spacing w:before="40" w:after="40"/>
        <w:rPr/>
      </w:pPr>
      <w:r>
        <w:rPr>
          <w:rFonts w:eastAsia="Arial" w:cs="Arial"/>
          <w:sz w:val="20"/>
          <w:szCs w:val="20"/>
        </w:rPr>
        <w:t>Full raise of $1,200,000 — funds the complete growth plan including a scaled sales team of 5 hires, 2 senior engineering hires, dedicated GPU infrastructure, and a full customer success and compliance function. Provides approximately 43 months of static runway at current burn, with a target operational runway of 14–18 months under the scaled deployment plan.</w:t>
      </w:r>
    </w:p>
    <w:p>
      <w:pPr>
        <w:pStyle w:val="ListParagraph"/>
        <w:numPr>
          <w:ilvl w:val="0"/>
          <w:numId w:val="1"/>
        </w:numPr>
        <w:spacing w:before="40" w:after="40"/>
        <w:rPr/>
      </w:pPr>
      <w:r>
        <w:rPr>
          <w:rFonts w:eastAsia="Arial" w:cs="Arial"/>
          <w:sz w:val="20"/>
          <w:szCs w:val="20"/>
        </w:rPr>
        <w:t>Minimum raise of $500,000 — funds a focused go-to-market programme (2 sales hires), one engineering hire, a lighter-touch compute and infrastructure investment, and core compliance and customer success capacity. Provides approximately 18 months of static runway at current burn, with a scaled operational runway of 7–10 months before a follow-on raise or revenue breakeven is required.</w:t>
      </w:r>
    </w:p>
    <w:p>
      <w:pPr>
        <w:pStyle w:val="Normal"/>
        <w:spacing w:before="80" w:after="80"/>
        <w:rPr/>
      </w:pPr>
      <w:r>
        <w:rPr/>
      </w:r>
    </w:p>
    <w:p>
      <w:pPr>
        <w:pStyle w:val="Normal"/>
        <w:spacing w:before="60" w:after="60"/>
        <w:rPr/>
      </w:pPr>
      <w:r>
        <w:rPr>
          <w:rFonts w:eastAsia="Arial" w:cs="Arial"/>
          <w:sz w:val="20"/>
          <w:szCs w:val="20"/>
        </w:rPr>
        <w:t>Both scenarios are presented with full line-item breakdowns in Section 4 of this document.</w:t>
      </w:r>
    </w:p>
    <w:p>
      <w:pPr>
        <w:pStyle w:val="Normal"/>
        <w:spacing w:before="80" w:after="80"/>
        <w:rPr/>
      </w:pPr>
      <w:r>
        <w:rPr/>
      </w:r>
    </w:p>
    <w:p>
      <w:pPr>
        <w:pStyle w:val="Normal"/>
        <w:pBdr>
          <w:top w:val="single" w:sz="8" w:space="4" w:color="2C5F9E"/>
          <w:right w:val="single" w:sz="8" w:space="4" w:color="2C5F9E"/>
        </w:pBdr>
        <w:spacing w:before="120" w:after="40"/>
        <w:ind w:left="360" w:right="360"/>
        <w:rPr/>
      </w:pPr>
      <w:r>
        <w:rPr>
          <w:rFonts w:eastAsia="Arial" w:cs="Arial"/>
          <w:i/>
          <w:iCs/>
          <w:sz w:val="20"/>
          <w:szCs w:val="20"/>
        </w:rPr>
        <w:t>Voice AI Solutions is building the infrastructure layer for enterprise voice automation in Australia.</w:t>
      </w:r>
    </w:p>
    <w:p>
      <w:pPr>
        <w:pStyle w:val="Normal"/>
        <w:pBdr>
          <w:right w:val="single" w:sz="8" w:space="4" w:color="2C5F9E"/>
        </w:pBdr>
        <w:spacing w:before="40" w:after="40"/>
        <w:ind w:left="360" w:right="360"/>
        <w:rPr/>
      </w:pPr>
      <w:r>
        <w:rPr>
          <w:rFonts w:eastAsia="Arial" w:cs="Arial"/>
          <w:i/>
          <w:iCs/>
          <w:sz w:val="20"/>
          <w:szCs w:val="20"/>
        </w:rPr>
        <w:t>Australian data sovereignty, on-premises deployment capability, and deep vertical playbooks</w:t>
      </w:r>
    </w:p>
    <w:p>
      <w:pPr>
        <w:pStyle w:val="Normal"/>
        <w:pBdr>
          <w:bottom w:val="single" w:sz="8" w:space="4" w:color="2C5F9E"/>
          <w:right w:val="single" w:sz="8" w:space="4" w:color="2C5F9E"/>
        </w:pBdr>
        <w:spacing w:before="40" w:after="120"/>
        <w:ind w:left="360" w:right="360"/>
        <w:rPr/>
      </w:pPr>
      <w:r>
        <w:rPr>
          <w:rFonts w:eastAsia="Arial" w:cs="Arial"/>
          <w:i/>
          <w:iCs/>
          <w:sz w:val="20"/>
          <w:szCs w:val="20"/>
        </w:rPr>
        <w:t>are the core differentiators that underpin this raise and the commercial strategy it will fund.</w:t>
      </w:r>
    </w:p>
    <w:p>
      <w:pPr>
        <w:pStyle w:val="Normal"/>
        <w:spacing w:before="80" w:after="80"/>
        <w:rPr/>
      </w:pPr>
      <w:r>
        <w:rPr/>
      </w:r>
    </w:p>
    <w:p>
      <w:pPr>
        <w:pStyle w:val="Normal"/>
        <w:pBdr>
          <w:bottom w:val="single" w:sz="6" w:space="4" w:color="1B3A6B"/>
        </w:pBdr>
        <w:spacing w:before="360" w:after="120"/>
        <w:rPr/>
      </w:pPr>
      <w:r>
        <w:rPr>
          <w:rFonts w:eastAsia="Arial" w:cs="Arial"/>
          <w:b/>
          <w:bCs/>
          <w:color w:val="1B3A6B"/>
          <w:sz w:val="30"/>
          <w:szCs w:val="30"/>
        </w:rPr>
        <w:t>2.  Funding Overview</w:t>
      </w:r>
    </w:p>
    <w:p>
      <w:pPr>
        <w:pStyle w:val="Normal"/>
        <w:spacing w:before="40" w:after="40"/>
        <w:rPr/>
      </w:pPr>
      <w:r>
        <w:rPr>
          <w:rFonts w:eastAsia="Arial" w:cs="Arial"/>
          <w:b/>
          <w:bCs/>
          <w:color w:val="1B3A6B"/>
          <w:sz w:val="20"/>
          <w:szCs w:val="20"/>
        </w:rPr>
        <w:t xml:space="preserve">Total Target Raise:  </w:t>
      </w:r>
      <w:r>
        <w:rPr>
          <w:rFonts w:eastAsia="Arial" w:cs="Arial"/>
          <w:sz w:val="20"/>
          <w:szCs w:val="20"/>
        </w:rPr>
        <w:t>$1,200,000</w:t>
      </w:r>
    </w:p>
    <w:p>
      <w:pPr>
        <w:pStyle w:val="Normal"/>
        <w:spacing w:before="40" w:after="40"/>
        <w:rPr/>
      </w:pPr>
      <w:r>
        <w:rPr>
          <w:rFonts w:eastAsia="Arial" w:cs="Arial"/>
          <w:b/>
          <w:bCs/>
          <w:color w:val="1B3A6B"/>
          <w:sz w:val="20"/>
          <w:szCs w:val="20"/>
        </w:rPr>
        <w:t xml:space="preserve">Minimum Raise:  </w:t>
      </w:r>
      <w:r>
        <w:rPr>
          <w:rFonts w:eastAsia="Arial" w:cs="Arial"/>
          <w:sz w:val="20"/>
          <w:szCs w:val="20"/>
        </w:rPr>
        <w:t>$500,000</w:t>
      </w:r>
    </w:p>
    <w:p>
      <w:pPr>
        <w:pStyle w:val="Normal"/>
        <w:spacing w:before="40" w:after="40"/>
        <w:rPr/>
      </w:pPr>
      <w:r>
        <w:rPr>
          <w:rFonts w:eastAsia="Arial" w:cs="Arial"/>
          <w:b/>
          <w:bCs/>
          <w:color w:val="1B3A6B"/>
          <w:sz w:val="20"/>
          <w:szCs w:val="20"/>
        </w:rPr>
        <w:t xml:space="preserve">Raise Type:  </w:t>
      </w:r>
      <w:r>
        <w:rPr>
          <w:rFonts w:eastAsia="Arial" w:cs="Arial"/>
          <w:sz w:val="20"/>
          <w:szCs w:val="20"/>
        </w:rPr>
        <w:t>Equity — Seed</w:t>
      </w:r>
    </w:p>
    <w:p>
      <w:pPr>
        <w:pStyle w:val="Normal"/>
        <w:spacing w:before="40" w:after="40"/>
        <w:rPr/>
      </w:pPr>
      <w:r>
        <w:rPr>
          <w:rFonts w:eastAsia="Arial" w:cs="Arial"/>
          <w:b/>
          <w:bCs/>
          <w:color w:val="1B3A6B"/>
          <w:sz w:val="20"/>
          <w:szCs w:val="20"/>
        </w:rPr>
        <w:t xml:space="preserve">Current Monthly Burn:  </w:t>
      </w:r>
      <w:r>
        <w:rPr>
          <w:rFonts w:eastAsia="Arial" w:cs="Arial"/>
          <w:sz w:val="20"/>
          <w:szCs w:val="20"/>
        </w:rPr>
        <w:t>$28,000</w:t>
      </w:r>
    </w:p>
    <w:p>
      <w:pPr>
        <w:pStyle w:val="Normal"/>
        <w:spacing w:before="40" w:after="40"/>
        <w:rPr/>
      </w:pPr>
      <w:r>
        <w:rPr>
          <w:rFonts w:eastAsia="Arial" w:cs="Arial"/>
          <w:b/>
          <w:bCs/>
          <w:color w:val="1B3A6B"/>
          <w:sz w:val="20"/>
          <w:szCs w:val="20"/>
        </w:rPr>
        <w:t xml:space="preserve">Current Headcount:  </w:t>
      </w:r>
      <w:r>
        <w:rPr>
          <w:rFonts w:eastAsia="Arial" w:cs="Arial"/>
          <w:sz w:val="20"/>
          <w:szCs w:val="20"/>
        </w:rPr>
        <w:t>4 (including 2 co-founders)</w:t>
      </w:r>
    </w:p>
    <w:p>
      <w:pPr>
        <w:pStyle w:val="Normal"/>
        <w:spacing w:before="40" w:after="40"/>
        <w:rPr/>
      </w:pPr>
      <w:r>
        <w:rPr>
          <w:rFonts w:eastAsia="Arial" w:cs="Arial"/>
          <w:b/>
          <w:bCs/>
          <w:color w:val="1B3A6B"/>
          <w:sz w:val="20"/>
          <w:szCs w:val="20"/>
        </w:rPr>
        <w:t xml:space="preserve">Static Runway — Full Raise:  </w:t>
      </w:r>
      <w:r>
        <w:rPr>
          <w:rFonts w:eastAsia="Arial" w:cs="Arial"/>
          <w:sz w:val="20"/>
          <w:szCs w:val="20"/>
        </w:rPr>
        <w:t>~42.9 months at current burn</w:t>
      </w:r>
    </w:p>
    <w:p>
      <w:pPr>
        <w:pStyle w:val="Normal"/>
        <w:spacing w:before="40" w:after="40"/>
        <w:rPr/>
      </w:pPr>
      <w:r>
        <w:rPr>
          <w:rFonts w:eastAsia="Arial" w:cs="Arial"/>
          <w:b/>
          <w:bCs/>
          <w:color w:val="1B3A6B"/>
          <w:sz w:val="20"/>
          <w:szCs w:val="20"/>
        </w:rPr>
        <w:t xml:space="preserve">Static Runway — Minimum Raise:  </w:t>
      </w:r>
      <w:r>
        <w:rPr>
          <w:rFonts w:eastAsia="Arial" w:cs="Arial"/>
          <w:sz w:val="20"/>
          <w:szCs w:val="20"/>
        </w:rPr>
        <w:t>~17.9 months at current burn</w:t>
      </w:r>
    </w:p>
    <w:p>
      <w:pPr>
        <w:pStyle w:val="Normal"/>
        <w:spacing w:before="40" w:after="40"/>
        <w:rPr/>
      </w:pPr>
      <w:r>
        <w:rPr>
          <w:rFonts w:eastAsia="Arial" w:cs="Arial"/>
          <w:b/>
          <w:bCs/>
          <w:color w:val="1B3A6B"/>
          <w:sz w:val="20"/>
          <w:szCs w:val="20"/>
        </w:rPr>
        <w:t xml:space="preserve">Operational Runway — Full Raise:  </w:t>
      </w:r>
      <w:r>
        <w:rPr>
          <w:rFonts w:eastAsia="Arial" w:cs="Arial"/>
          <w:sz w:val="20"/>
          <w:szCs w:val="20"/>
        </w:rPr>
        <w:t>14–18 months under scaled deployment</w:t>
      </w:r>
    </w:p>
    <w:p>
      <w:pPr>
        <w:pStyle w:val="Normal"/>
        <w:spacing w:before="40" w:after="40"/>
        <w:rPr/>
      </w:pPr>
      <w:r>
        <w:rPr>
          <w:rFonts w:eastAsia="Arial" w:cs="Arial"/>
          <w:b/>
          <w:bCs/>
          <w:color w:val="1B3A6B"/>
          <w:sz w:val="20"/>
          <w:szCs w:val="20"/>
        </w:rPr>
        <w:t xml:space="preserve">Operational Runway — Minimum Raise:  </w:t>
      </w:r>
      <w:r>
        <w:rPr>
          <w:rFonts w:eastAsia="Arial" w:cs="Arial"/>
          <w:sz w:val="20"/>
          <w:szCs w:val="20"/>
        </w:rPr>
        <w:t>7–10 months under scaled deployment</w:t>
      </w:r>
    </w:p>
    <w:p>
      <w:pPr>
        <w:pStyle w:val="Normal"/>
        <w:spacing w:before="80" w:after="80"/>
        <w:rPr/>
      </w:pPr>
      <w:r>
        <w:rPr/>
      </w:r>
    </w:p>
    <w:p>
      <w:pPr>
        <w:pStyle w:val="Normal"/>
        <w:spacing w:before="60" w:after="60"/>
        <w:rPr/>
      </w:pPr>
      <w:r>
        <w:rPr>
          <w:rFonts w:eastAsia="Arial" w:cs="Arial"/>
          <w:sz w:val="20"/>
          <w:szCs w:val="20"/>
        </w:rPr>
        <w:t>Note: Static runway figures reflect current burn only and are presented for reference. Operational runway reflects projected burn as headcount, infrastructure, and marketing spend scale across the deployment period. Revenue generated during the deployment period will extend both runway estimates materially as commercial traction develops.</w:t>
      </w:r>
    </w:p>
    <w:p>
      <w:pPr>
        <w:pStyle w:val="Normal"/>
        <w:spacing w:before="80" w:after="80"/>
        <w:rPr/>
      </w:pPr>
      <w:r>
        <w:rPr/>
      </w:r>
    </w:p>
    <w:p>
      <w:pPr>
        <w:pStyle w:val="Normal"/>
        <w:pBdr>
          <w:bottom w:val="single" w:sz="6" w:space="4" w:color="1B3A6B"/>
        </w:pBdr>
        <w:spacing w:before="360" w:after="120"/>
        <w:rPr/>
      </w:pPr>
      <w:r>
        <w:rPr>
          <w:rFonts w:eastAsia="Arial" w:cs="Arial"/>
          <w:b/>
          <w:bCs/>
          <w:color w:val="1B3A6B"/>
          <w:sz w:val="30"/>
          <w:szCs w:val="30"/>
        </w:rPr>
        <w:t>3.  Allocation Overview — Both Scenarios</w:t>
      </w:r>
    </w:p>
    <w:p>
      <w:pPr>
        <w:pStyle w:val="Normal"/>
        <w:spacing w:before="60" w:after="60"/>
        <w:rPr/>
      </w:pPr>
      <w:r>
        <w:rPr>
          <w:rFonts w:eastAsia="Arial" w:cs="Arial"/>
          <w:sz w:val="20"/>
          <w:szCs w:val="20"/>
        </w:rPr>
        <w:t>The table below shows the planned allocation across both scenarios. Proportions are broadly maintained between scenarios, with adjustments to headcount, infrastructure scale, and marketing intensity reflecting the reduced capital available under the minimum raise.</w:t>
      </w:r>
    </w:p>
    <w:p>
      <w:pPr>
        <w:pStyle w:val="Normal"/>
        <w:spacing w:before="80" w:after="80"/>
        <w:rPr/>
      </w:pPr>
      <w:r>
        <w:rPr/>
      </w:r>
    </w:p>
    <w:tbl>
      <w:tblPr>
        <w:tblW w:w="9360" w:type="dxa"/>
        <w:jc w:val="left"/>
        <w:tblInd w:w="0" w:type="dxa"/>
        <w:tblLayout w:type="fixed"/>
        <w:tblCellMar>
          <w:top w:w="100" w:type="dxa"/>
          <w:left w:w="130" w:type="dxa"/>
          <w:bottom w:w="100" w:type="dxa"/>
          <w:right w:w="130" w:type="dxa"/>
        </w:tblCellMar>
      </w:tblPr>
      <w:tblGrid>
        <w:gridCol w:w="2999"/>
        <w:gridCol w:w="1561"/>
        <w:gridCol w:w="1099"/>
        <w:gridCol w:w="1561"/>
        <w:gridCol w:w="1100"/>
        <w:gridCol w:w="1039"/>
      </w:tblGrid>
      <w:tr>
        <w:trPr>
          <w:tblHeader w:val="true"/>
        </w:trPr>
        <w:tc>
          <w:tcPr>
            <w:tcW w:w="2999"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Category</w:t>
            </w:r>
          </w:p>
        </w:tc>
        <w:tc>
          <w:tcPr>
            <w:tcW w:w="1561"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$1.2M Amount</w:t>
            </w:r>
          </w:p>
        </w:tc>
        <w:tc>
          <w:tcPr>
            <w:tcW w:w="1099"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$1.2M %</w:t>
            </w:r>
          </w:p>
        </w:tc>
        <w:tc>
          <w:tcPr>
            <w:tcW w:w="1561"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$500k Amount</w:t>
            </w:r>
          </w:p>
        </w:tc>
        <w:tc>
          <w:tcPr>
            <w:tcW w:w="1100"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$500k %</w:t>
            </w:r>
          </w:p>
        </w:tc>
        <w:tc>
          <w:tcPr>
            <w:tcW w:w="1039"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Key Focus</w:t>
            </w:r>
          </w:p>
        </w:tc>
      </w:tr>
      <w:tr>
        <w:trPr/>
        <w:tc>
          <w:tcPr>
            <w:tcW w:w="299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Go-To-Market and Sales</w:t>
            </w:r>
          </w:p>
        </w:tc>
        <w:tc>
          <w:tcPr>
            <w:tcW w:w="156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$481,500</w:t>
            </w:r>
          </w:p>
        </w:tc>
        <w:tc>
          <w:tcPr>
            <w:tcW w:w="109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40.1%</w:t>
            </w:r>
          </w:p>
        </w:tc>
        <w:tc>
          <w:tcPr>
            <w:tcW w:w="156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$192,000</w:t>
            </w:r>
          </w:p>
        </w:tc>
        <w:tc>
          <w:tcPr>
            <w:tcW w:w="11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38.4%</w:t>
            </w:r>
          </w:p>
        </w:tc>
        <w:tc>
          <w:tcPr>
            <w:tcW w:w="10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Sales headcount, outbound, partnerships</w:t>
            </w:r>
          </w:p>
        </w:tc>
      </w:tr>
      <w:tr>
        <w:trPr/>
        <w:tc>
          <w:tcPr>
            <w:tcW w:w="299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Product and Engineering</w:t>
            </w:r>
          </w:p>
        </w:tc>
        <w:tc>
          <w:tcPr>
            <w:tcW w:w="156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$300,500</w:t>
            </w:r>
          </w:p>
        </w:tc>
        <w:tc>
          <w:tcPr>
            <w:tcW w:w="109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25.0%</w:t>
            </w:r>
          </w:p>
        </w:tc>
        <w:tc>
          <w:tcPr>
            <w:tcW w:w="156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$135,000</w:t>
            </w:r>
          </w:p>
        </w:tc>
        <w:tc>
          <w:tcPr>
            <w:tcW w:w="11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27.0%</w:t>
            </w:r>
          </w:p>
        </w:tc>
        <w:tc>
          <w:tcPr>
            <w:tcW w:w="10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Engineering hires, platform dev</w:t>
            </w:r>
          </w:p>
        </w:tc>
      </w:tr>
      <w:tr>
        <w:trPr/>
        <w:tc>
          <w:tcPr>
            <w:tcW w:w="299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Compute Infrastructure</w:t>
            </w:r>
          </w:p>
        </w:tc>
        <w:tc>
          <w:tcPr>
            <w:tcW w:w="156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$241,000</w:t>
            </w:r>
          </w:p>
        </w:tc>
        <w:tc>
          <w:tcPr>
            <w:tcW w:w="109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20.1%</w:t>
            </w:r>
          </w:p>
        </w:tc>
        <w:tc>
          <w:tcPr>
            <w:tcW w:w="156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$85,000</w:t>
            </w:r>
          </w:p>
        </w:tc>
        <w:tc>
          <w:tcPr>
            <w:tcW w:w="11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17.0%</w:t>
            </w:r>
          </w:p>
        </w:tc>
        <w:tc>
          <w:tcPr>
            <w:tcW w:w="10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GPU leases, redundancy, monitoring</w:t>
            </w:r>
          </w:p>
        </w:tc>
      </w:tr>
      <w:tr>
        <w:trPr/>
        <w:tc>
          <w:tcPr>
            <w:tcW w:w="299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Operations and Customer Success</w:t>
            </w:r>
          </w:p>
        </w:tc>
        <w:tc>
          <w:tcPr>
            <w:tcW w:w="156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$120,500</w:t>
            </w:r>
          </w:p>
        </w:tc>
        <w:tc>
          <w:tcPr>
            <w:tcW w:w="109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10.0%</w:t>
            </w:r>
          </w:p>
        </w:tc>
        <w:tc>
          <w:tcPr>
            <w:tcW w:w="156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$55,000</w:t>
            </w:r>
          </w:p>
        </w:tc>
        <w:tc>
          <w:tcPr>
            <w:tcW w:w="11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11.0%</w:t>
            </w:r>
          </w:p>
        </w:tc>
        <w:tc>
          <w:tcPr>
            <w:tcW w:w="10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CS hire, onboarding, QA</w:t>
            </w:r>
          </w:p>
        </w:tc>
      </w:tr>
      <w:tr>
        <w:trPr/>
        <w:tc>
          <w:tcPr>
            <w:tcW w:w="299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Compliance, Legal and Admin</w:t>
            </w:r>
          </w:p>
        </w:tc>
        <w:tc>
          <w:tcPr>
            <w:tcW w:w="156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$56,500</w:t>
            </w:r>
          </w:p>
        </w:tc>
        <w:tc>
          <w:tcPr>
            <w:tcW w:w="109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4.7%</w:t>
            </w:r>
          </w:p>
        </w:tc>
        <w:tc>
          <w:tcPr>
            <w:tcW w:w="156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$33,000</w:t>
            </w:r>
          </w:p>
        </w:tc>
        <w:tc>
          <w:tcPr>
            <w:tcW w:w="11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6.6%</w:t>
            </w:r>
          </w:p>
        </w:tc>
        <w:tc>
          <w:tcPr>
            <w:tcW w:w="10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Regulatory, legal, admin</w:t>
            </w:r>
          </w:p>
        </w:tc>
      </w:tr>
      <w:tr>
        <w:trPr/>
        <w:tc>
          <w:tcPr>
            <w:tcW w:w="2999"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Fonts w:eastAsia="Arial" w:cs="Arial"/>
                <w:b/>
                <w:bCs/>
                <w:sz w:val="18"/>
                <w:szCs w:val="18"/>
              </w:rPr>
              <w:t>TOTAL</w:t>
            </w:r>
          </w:p>
        </w:tc>
        <w:tc>
          <w:tcPr>
            <w:tcW w:w="1561"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right"/>
              <w:rPr/>
            </w:pPr>
            <w:r>
              <w:rPr>
                <w:rFonts w:eastAsia="Arial" w:cs="Arial"/>
                <w:b/>
                <w:bCs/>
                <w:sz w:val="18"/>
                <w:szCs w:val="18"/>
              </w:rPr>
              <w:t>$1,200,000</w:t>
            </w:r>
          </w:p>
        </w:tc>
        <w:tc>
          <w:tcPr>
            <w:tcW w:w="1099"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right"/>
              <w:rPr/>
            </w:pPr>
            <w:r>
              <w:rPr>
                <w:rFonts w:eastAsia="Arial" w:cs="Arial"/>
                <w:b/>
                <w:bCs/>
                <w:sz w:val="18"/>
                <w:szCs w:val="18"/>
              </w:rPr>
              <w:t>100%</w:t>
            </w:r>
          </w:p>
        </w:tc>
        <w:tc>
          <w:tcPr>
            <w:tcW w:w="1561"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right"/>
              <w:rPr/>
            </w:pPr>
            <w:r>
              <w:rPr>
                <w:rFonts w:eastAsia="Arial" w:cs="Arial"/>
                <w:b/>
                <w:bCs/>
                <w:sz w:val="18"/>
                <w:szCs w:val="18"/>
              </w:rPr>
              <w:t>$500,000</w:t>
            </w:r>
          </w:p>
        </w:tc>
        <w:tc>
          <w:tcPr>
            <w:tcW w:w="1100"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right"/>
              <w:rPr/>
            </w:pPr>
            <w:r>
              <w:rPr>
                <w:rFonts w:eastAsia="Arial" w:cs="Arial"/>
                <w:b/>
                <w:bCs/>
                <w:sz w:val="18"/>
                <w:szCs w:val="18"/>
              </w:rPr>
              <w:t>100%</w:t>
            </w:r>
          </w:p>
        </w:tc>
        <w:tc>
          <w:tcPr>
            <w:tcW w:w="1039"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
          </w:p>
        </w:tc>
      </w:tr>
    </w:tbl>
    <w:p>
      <w:pPr>
        <w:pStyle w:val="Normal"/>
        <w:spacing w:before="80" w:after="80"/>
        <w:rPr/>
      </w:pPr>
      <w:r>
        <w:rPr/>
      </w:r>
    </w:p>
    <w:p>
      <w:pPr>
        <w:pStyle w:val="Normal"/>
        <w:spacing w:before="60" w:after="60"/>
        <w:rPr/>
      </w:pPr>
      <w:r>
        <w:rPr>
          <w:rFonts w:eastAsia="Arial" w:cs="Arial"/>
          <w:sz w:val="20"/>
          <w:szCs w:val="20"/>
        </w:rPr>
        <w:t>The go-to-market weighting (38–40%) is consistent across both scenarios — this reflects the company's view that sales capacity is the primary constraint on growth at this stage, and that investment here yields the fastest return on capital. Product and engineering (25–27%) ensures the platform can scale alongside commercial growth. Compute infrastructure (17–20%) secures the Australian GPU capacity that underpins the data sovereignty proposition. Operations (10–11%) funds the retention and expansion infrastructure required to maintain net revenue retention above 110%. Compliance and legal (5–7%) provides the regulatory foundation needed to win and retain enterprise clients in regulated verticals.</w:t>
      </w:r>
    </w:p>
    <w:p>
      <w:pPr>
        <w:pStyle w:val="Normal"/>
        <w:spacing w:before="80" w:after="80"/>
        <w:rPr/>
      </w:pPr>
      <w:r>
        <w:rPr/>
      </w:r>
    </w:p>
    <w:p>
      <w:pPr>
        <w:pStyle w:val="Normal"/>
        <w:rPr/>
      </w:pPr>
      <w:r>
        <w:rPr/>
      </w:r>
      <w:r>
        <w:br w:type="page"/>
      </w:r>
    </w:p>
    <w:p>
      <w:pPr>
        <w:pStyle w:val="Normal"/>
        <w:pBdr>
          <w:bottom w:val="single" w:sz="6" w:space="4" w:color="1B3A6B"/>
        </w:pBdr>
        <w:spacing w:before="0" w:after="120"/>
        <w:rPr/>
      </w:pPr>
      <w:r>
        <w:rPr>
          <w:rFonts w:eastAsia="Arial" w:cs="Arial"/>
          <w:b/>
          <w:bCs/>
          <w:color w:val="1B3A6B"/>
          <w:sz w:val="30"/>
          <w:szCs w:val="30"/>
        </w:rPr>
        <w:t>4.  Detailed Use by Category</w:t>
      </w:r>
    </w:p>
    <w:p>
      <w:pPr>
        <w:pStyle w:val="Normal"/>
        <w:spacing w:before="60" w:after="60"/>
        <w:rPr/>
      </w:pPr>
      <w:r>
        <w:rPr>
          <w:rFonts w:eastAsia="Arial" w:cs="Arial"/>
          <w:sz w:val="20"/>
          <w:szCs w:val="20"/>
        </w:rPr>
        <w:t>Each category below presents the full $1,200,000 allocation followed by the adjusted $500,000 scenario allocation, with specific line-item breakdowns for both.</w:t>
      </w:r>
    </w:p>
    <w:p>
      <w:pPr>
        <w:pStyle w:val="Normal"/>
        <w:spacing w:before="80" w:after="80"/>
        <w:rPr/>
      </w:pPr>
      <w:r>
        <w:rPr/>
      </w:r>
    </w:p>
    <w:p>
      <w:pPr>
        <w:pStyle w:val="Normal"/>
        <w:spacing w:before="280" w:after="80"/>
        <w:rPr/>
      </w:pPr>
      <w:r>
        <w:rPr>
          <w:rFonts w:eastAsia="Arial" w:cs="Arial"/>
          <w:b/>
          <w:bCs/>
          <w:color w:val="2C5F9E"/>
          <w:sz w:val="26"/>
          <w:szCs w:val="26"/>
        </w:rPr>
        <w:t>Category 1 — Go-To-Market and Sales</w:t>
      </w:r>
    </w:p>
    <w:p>
      <w:pPr>
        <w:pStyle w:val="Normal"/>
        <w:spacing w:before="80" w:after="80"/>
        <w:rPr/>
      </w:pPr>
      <w:r>
        <w:rPr/>
      </w:r>
    </w:p>
    <w:p>
      <w:pPr>
        <w:pStyle w:val="Normal"/>
        <w:spacing w:before="200" w:after="60"/>
        <w:rPr/>
      </w:pPr>
      <w:r>
        <w:rPr>
          <w:rFonts w:eastAsia="Arial" w:cs="Arial"/>
          <w:b/>
          <w:bCs/>
          <w:color w:val="1B3A6B"/>
          <w:sz w:val="22"/>
          <w:szCs w:val="22"/>
        </w:rPr>
        <w:t>Full Raise Allocation — $481,500  (40.1% of $1,200,000)</w:t>
      </w:r>
    </w:p>
    <w:p>
      <w:pPr>
        <w:pStyle w:val="Normal"/>
        <w:spacing w:before="60" w:after="60"/>
        <w:rPr/>
      </w:pPr>
      <w:r>
        <w:rPr>
          <w:rFonts w:eastAsia="Arial" w:cs="Arial"/>
          <w:sz w:val="20"/>
          <w:szCs w:val="20"/>
        </w:rPr>
        <w:t>This allocation funds 5 B2B sales hires, structured demand generation, and channel partnership development. Each hire carries an individual revenue target supported by a defined playbook, CRM infrastructure, and sales enablement materials. Priority hiring targets individuals with networks in real estate, debt collection, and healthcare.</w:t>
      </w:r>
    </w:p>
    <w:p>
      <w:pPr>
        <w:pStyle w:val="Normal"/>
        <w:spacing w:before="80" w:after="80"/>
        <w:rPr/>
      </w:pPr>
      <w:r>
        <w:rPr/>
      </w:r>
    </w:p>
    <w:tbl>
      <w:tblPr>
        <w:tblW w:w="9360" w:type="dxa"/>
        <w:jc w:val="left"/>
        <w:tblInd w:w="0" w:type="dxa"/>
        <w:tblLayout w:type="fixed"/>
        <w:tblCellMar>
          <w:top w:w="100" w:type="dxa"/>
          <w:left w:w="130" w:type="dxa"/>
          <w:bottom w:w="100" w:type="dxa"/>
          <w:right w:w="130" w:type="dxa"/>
        </w:tblCellMar>
      </w:tblPr>
      <w:tblGrid>
        <w:gridCol w:w="3200"/>
        <w:gridCol w:w="1439"/>
        <w:gridCol w:w="4721"/>
      </w:tblGrid>
      <w:tr>
        <w:trPr>
          <w:tblHeader w:val="true"/>
        </w:trPr>
        <w:tc>
          <w:tcPr>
            <w:tcW w:w="3200"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Line Item</w:t>
            </w:r>
          </w:p>
        </w:tc>
        <w:tc>
          <w:tcPr>
            <w:tcW w:w="1439"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Amount</w:t>
            </w:r>
          </w:p>
        </w:tc>
        <w:tc>
          <w:tcPr>
            <w:tcW w:w="4721"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Notes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Sales Hire 1 — Senior AE (Q1 start)</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$53,500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Base salary pro-rata (~$95k p.a.) + commission + ~$8k recruitment fee</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Sales Hire 2 — Senior AE (Q1 start)</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$53,500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Base salary pro-rata (~$95k p.a.) + commission + ~$8k recruitment fee</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Sales Hire 3 — AE (Q2 start)</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$42,300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Base salary pro-rata (~$85k p.a.) + commission + ~$8k recruitment fee</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Sales Hire 4 — AE (Q2 start)</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$42,300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Base salary pro-rata (~$85k p.a.) + commission + ~$8k recruitment fee</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Sales Hire 5 — BDR (Q3 start)</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$29,800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Base salary pro-rata for second half of deployment period</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CRM and Sales Tooling</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$21,500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HubSpot, Instantly.ai, Apollo.io, LinkedIn Sales Navigator annual licences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Sales Enablement and Onboarding</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$38,600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Playbook development, training, collateral production, demo environments</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Paid Digital (Google, LinkedIn)</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$52,000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~$4,300/month over 12 months; targeted by vertical and persona</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Industry Events and Conferences</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$28,500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2–3 major events; booth / sponsorship in real estate and collections</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Content Marketing and SEO</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$19,875</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Blog, case studies, white papers for inbound pipeline</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Partnership BD Resource</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$36,000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Dedicated BD resource at $3,000/month for 12 months</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Co-Marketing and Integrations</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$26,225</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Partner campaigns, co-branded collateral, lightweight connectors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Contingency (GTM)</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$17,400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Unallocated buffer for opportunistic campaign or hire timing</w:t>
            </w:r>
          </w:p>
        </w:tc>
      </w:tr>
      <w:tr>
        <w:trPr/>
        <w:tc>
          <w:tcPr>
            <w:tcW w:w="3200"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Fonts w:eastAsia="Arial" w:cs="Arial"/>
                <w:b/>
                <w:bCs/>
                <w:sz w:val="18"/>
                <w:szCs w:val="18"/>
              </w:rPr>
              <w:t>TOTAL — Go-To-Market (Full Raise)</w:t>
            </w:r>
          </w:p>
        </w:tc>
        <w:tc>
          <w:tcPr>
            <w:tcW w:w="1439"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right"/>
              <w:rPr/>
            </w:pPr>
            <w:r>
              <w:rPr>
                <w:rFonts w:eastAsia="Arial" w:cs="Arial"/>
                <w:b/>
                <w:bCs/>
                <w:sz w:val="18"/>
                <w:szCs w:val="18"/>
              </w:rPr>
              <w:t>$481,500</w:t>
            </w:r>
          </w:p>
        </w:tc>
        <w:tc>
          <w:tcPr>
            <w:tcW w:w="4721"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
          </w:p>
        </w:tc>
      </w:tr>
    </w:tbl>
    <w:p>
      <w:pPr>
        <w:pStyle w:val="Normal"/>
        <w:spacing w:before="80" w:after="80"/>
        <w:rPr/>
      </w:pPr>
      <w:r>
        <w:rPr/>
      </w:r>
    </w:p>
    <w:p>
      <w:pPr>
        <w:pStyle w:val="Normal"/>
        <w:spacing w:before="200" w:after="60"/>
        <w:rPr/>
      </w:pPr>
      <w:r>
        <w:rPr>
          <w:rFonts w:eastAsia="Arial" w:cs="Arial"/>
          <w:b/>
          <w:bCs/>
          <w:color w:val="1B3A6B"/>
          <w:sz w:val="22"/>
          <w:szCs w:val="22"/>
        </w:rPr>
        <w:t>Minimum Raise Allocation — $192,000  (38.4% of $500,000)</w:t>
      </w:r>
    </w:p>
    <w:p>
      <w:pPr>
        <w:pStyle w:val="Normal"/>
        <w:spacing w:before="60" w:after="60"/>
        <w:rPr/>
      </w:pPr>
      <w:r>
        <w:rPr>
          <w:rFonts w:eastAsia="Arial" w:cs="Arial"/>
          <w:sz w:val="20"/>
          <w:szCs w:val="20"/>
        </w:rPr>
        <w:t>Under the minimum raise, the sales team is reduced to 2 hires and marketing investment is focused entirely on outbound tooling and direct demand generation. Event attendance and partnership development are deferred. The objective is to establish a repeatable, measurable pipeline before expanding headcount.</w:t>
      </w:r>
    </w:p>
    <w:p>
      <w:pPr>
        <w:pStyle w:val="Normal"/>
        <w:spacing w:before="80" w:after="80"/>
        <w:rPr/>
      </w:pPr>
      <w:r>
        <w:rPr/>
      </w:r>
    </w:p>
    <w:tbl>
      <w:tblPr>
        <w:tblW w:w="9360" w:type="dxa"/>
        <w:jc w:val="left"/>
        <w:tblInd w:w="0" w:type="dxa"/>
        <w:tblLayout w:type="fixed"/>
        <w:tblCellMar>
          <w:top w:w="100" w:type="dxa"/>
          <w:left w:w="130" w:type="dxa"/>
          <w:bottom w:w="100" w:type="dxa"/>
          <w:right w:w="130" w:type="dxa"/>
        </w:tblCellMar>
      </w:tblPr>
      <w:tblGrid>
        <w:gridCol w:w="3200"/>
        <w:gridCol w:w="1439"/>
        <w:gridCol w:w="4721"/>
      </w:tblGrid>
      <w:tr>
        <w:trPr>
          <w:tblHeader w:val="true"/>
        </w:trPr>
        <w:tc>
          <w:tcPr>
            <w:tcW w:w="3200"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Line Item</w:t>
            </w:r>
          </w:p>
        </w:tc>
        <w:tc>
          <w:tcPr>
            <w:tcW w:w="1439"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Amount</w:t>
            </w:r>
          </w:p>
        </w:tc>
        <w:tc>
          <w:tcPr>
            <w:tcW w:w="4721"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Notes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Sales Hire 1 — Senior AE (Q1 start)</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$53,500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Base salary pro-rata (~$95k p.a.) + commission + ~$8k recruitment fee</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Sales Hire 2 — AE (Q2 start)</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$42,300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Base salary pro-rata (~$85k p.a.) + commission + ~$8k recruitment fee</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CRM and Sales Tooling</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$18,500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HubSpot, Instantly.ai, Apollo.io — reduced licence tier</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Sales Enablement and Onboarding</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$22,000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Core playbook and training; reduced collateral scope</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Paid Digital (Google, LinkedIn)</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$31,200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~$2,600/month; focused on highest-converting verticals only</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Content Marketing</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$12,000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Priority case studies and SEO content only</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Partnership Development (part-time)</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$12,500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Reduced BD resource at ~$1,000/month; inbound-led partnership development</w:t>
            </w:r>
          </w:p>
        </w:tc>
      </w:tr>
      <w:tr>
        <w:trPr/>
        <w:tc>
          <w:tcPr>
            <w:tcW w:w="3200"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Fonts w:eastAsia="Arial" w:cs="Arial"/>
                <w:b/>
                <w:bCs/>
                <w:sz w:val="18"/>
                <w:szCs w:val="18"/>
              </w:rPr>
              <w:t>TOTAL — Go-To-Market (Min. Raise)</w:t>
            </w:r>
          </w:p>
        </w:tc>
        <w:tc>
          <w:tcPr>
            <w:tcW w:w="1439"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right"/>
              <w:rPr/>
            </w:pPr>
            <w:r>
              <w:rPr>
                <w:rFonts w:eastAsia="Arial" w:cs="Arial"/>
                <w:b/>
                <w:bCs/>
                <w:sz w:val="18"/>
                <w:szCs w:val="18"/>
              </w:rPr>
              <w:t>$192,000</w:t>
            </w:r>
          </w:p>
        </w:tc>
        <w:tc>
          <w:tcPr>
            <w:tcW w:w="4721"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
          </w:p>
        </w:tc>
      </w:tr>
    </w:tbl>
    <w:p>
      <w:pPr>
        <w:pStyle w:val="Normal"/>
        <w:spacing w:before="80" w:after="80"/>
        <w:rPr/>
      </w:pPr>
      <w:r>
        <w:rPr/>
      </w:r>
    </w:p>
    <w:p>
      <w:pPr>
        <w:pStyle w:val="Normal"/>
        <w:spacing w:before="200" w:after="60"/>
        <w:rPr/>
      </w:pPr>
      <w:r>
        <w:rPr>
          <w:rFonts w:eastAsia="Arial" w:cs="Arial"/>
          <w:b/>
          <w:bCs/>
          <w:color w:val="1B3A6B"/>
          <w:sz w:val="22"/>
          <w:szCs w:val="22"/>
        </w:rPr>
        <w:t>Target Outcomes — Category 1</w:t>
      </w:r>
    </w:p>
    <w:p>
      <w:pPr>
        <w:pStyle w:val="ListParagraph"/>
        <w:numPr>
          <w:ilvl w:val="0"/>
          <w:numId w:val="1"/>
        </w:numPr>
        <w:spacing w:before="40" w:after="40"/>
        <w:rPr/>
      </w:pPr>
      <w:r>
        <w:rPr>
          <w:rFonts w:eastAsia="Arial" w:cs="Arial"/>
          <w:sz w:val="20"/>
          <w:szCs w:val="20"/>
        </w:rPr>
        <w:t>Full raise: 5 B2B sales professionals hired and ramped within 12 months; active channel partnerships in two or more verticals; pipeline coverage ratio of 3x revenue target</w:t>
      </w:r>
    </w:p>
    <w:p>
      <w:pPr>
        <w:pStyle w:val="ListParagraph"/>
        <w:numPr>
          <w:ilvl w:val="0"/>
          <w:numId w:val="1"/>
        </w:numPr>
        <w:spacing w:before="40" w:after="40"/>
        <w:rPr/>
      </w:pPr>
      <w:r>
        <w:rPr>
          <w:rFonts w:eastAsia="Arial" w:cs="Arial"/>
          <w:sz w:val="20"/>
          <w:szCs w:val="20"/>
        </w:rPr>
        <w:t>Minimum raise: 2 sales hires onboarded and producing pipeline within 90 days; outbound engine generating consistent weekly lead flow; first channel partnership initiated</w:t>
      </w:r>
    </w:p>
    <w:p>
      <w:pPr>
        <w:pStyle w:val="ListParagraph"/>
        <w:numPr>
          <w:ilvl w:val="0"/>
          <w:numId w:val="1"/>
        </w:numPr>
        <w:spacing w:before="40" w:after="40"/>
        <w:rPr/>
      </w:pPr>
      <w:r>
        <w:rPr>
          <w:rFonts w:eastAsia="Arial" w:cs="Arial"/>
          <w:sz w:val="20"/>
          <w:szCs w:val="20"/>
        </w:rPr>
        <w:t>Both scenarios: CRM and outbound infrastructure operational; sales playbook documented and in use</w:t>
      </w:r>
    </w:p>
    <w:p>
      <w:pPr>
        <w:pStyle w:val="Normal"/>
        <w:spacing w:before="80" w:after="80"/>
        <w:rPr/>
      </w:pPr>
      <w:r>
        <w:rPr/>
      </w:r>
    </w:p>
    <w:p>
      <w:pPr>
        <w:pStyle w:val="Normal"/>
        <w:rPr/>
      </w:pPr>
      <w:r>
        <w:rPr/>
      </w:r>
      <w:r>
        <w:br w:type="page"/>
      </w:r>
    </w:p>
    <w:p>
      <w:pPr>
        <w:pStyle w:val="Normal"/>
        <w:spacing w:before="0" w:after="80"/>
        <w:rPr/>
      </w:pPr>
      <w:r>
        <w:rPr>
          <w:rFonts w:eastAsia="Arial" w:cs="Arial"/>
          <w:b/>
          <w:bCs/>
          <w:color w:val="2C5F9E"/>
          <w:sz w:val="26"/>
          <w:szCs w:val="26"/>
        </w:rPr>
        <w:t>Category 2 — Product and Engineering</w:t>
      </w:r>
    </w:p>
    <w:p>
      <w:pPr>
        <w:pStyle w:val="Normal"/>
        <w:spacing w:before="80" w:after="80"/>
        <w:rPr/>
      </w:pPr>
      <w:r>
        <w:rPr/>
      </w:r>
    </w:p>
    <w:p>
      <w:pPr>
        <w:pStyle w:val="Normal"/>
        <w:spacing w:before="200" w:after="60"/>
        <w:rPr/>
      </w:pPr>
      <w:r>
        <w:rPr>
          <w:rFonts w:eastAsia="Arial" w:cs="Arial"/>
          <w:b/>
          <w:bCs/>
          <w:color w:val="1B3A6B"/>
          <w:sz w:val="22"/>
          <w:szCs w:val="22"/>
        </w:rPr>
        <w:t>Full Raise Allocation — $300,500  (25.0% of $1,200,000)</w:t>
      </w:r>
    </w:p>
    <w:p>
      <w:pPr>
        <w:pStyle w:val="Normal"/>
        <w:spacing w:before="60" w:after="60"/>
        <w:rPr/>
      </w:pPr>
      <w:r>
        <w:rPr>
          <w:rFonts w:eastAsia="Arial" w:cs="Arial"/>
          <w:sz w:val="20"/>
          <w:szCs w:val="20"/>
        </w:rPr>
        <w:t>Funds 2 senior engineering hires plus $120k of prioritised platform development across reliability, integrations, multi-agent orchestration, and deployment tooling. Engineering investment is designed to ensure the platform can scale with the commercial team without performance degradation or increased time-to-deployment.</w:t>
      </w:r>
    </w:p>
    <w:p>
      <w:pPr>
        <w:pStyle w:val="Normal"/>
        <w:spacing w:before="80" w:after="80"/>
        <w:rPr/>
      </w:pPr>
      <w:r>
        <w:rPr/>
      </w:r>
    </w:p>
    <w:tbl>
      <w:tblPr>
        <w:tblW w:w="9360" w:type="dxa"/>
        <w:jc w:val="left"/>
        <w:tblInd w:w="0" w:type="dxa"/>
        <w:tblLayout w:type="fixed"/>
        <w:tblCellMar>
          <w:top w:w="100" w:type="dxa"/>
          <w:left w:w="130" w:type="dxa"/>
          <w:bottom w:w="100" w:type="dxa"/>
          <w:right w:w="130" w:type="dxa"/>
        </w:tblCellMar>
      </w:tblPr>
      <w:tblGrid>
        <w:gridCol w:w="3200"/>
        <w:gridCol w:w="1439"/>
        <w:gridCol w:w="4721"/>
      </w:tblGrid>
      <w:tr>
        <w:trPr>
          <w:tblHeader w:val="true"/>
        </w:trPr>
        <w:tc>
          <w:tcPr>
            <w:tcW w:w="3200"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Line Item</w:t>
            </w:r>
          </w:p>
        </w:tc>
        <w:tc>
          <w:tcPr>
            <w:tcW w:w="1439"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Amount</w:t>
            </w:r>
          </w:p>
        </w:tc>
        <w:tc>
          <w:tcPr>
            <w:tcW w:w="4721"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Notes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Senior Engineer Hire 1 (Q1 start)</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$78,000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Full-year equivalent; platform stability, uptime, infrastructure</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Senior Engineer Hire 2 (Q2 start)</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$58,500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Half-year; integrations, deployment tooling, CRM connectors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Recruitment Costs (2 hires)</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$18,000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Agency or job board fees; technical assessment tooling</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Contractor / Specialist (as needed)</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$25,800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Short-term specialist for LLM infrastructure or multi-agent work</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Voice AI Reliability (latency, uptime, accuracy)</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$32,500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Directly tied to enterprise contract renewals and SLAs</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Multi-Agent Orchestration (productised feature)</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$28,000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Multi-step AI workflows for complex client operations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CRM and Platform Integrations (5+ platforms)</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$24,500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 xml:space="preserve">Focus: </w:t>
            </w:r>
            <w:r>
              <w:rPr>
                <w:rFonts w:eastAsia="Arial" w:cs="Arial"/>
                <w:b w:val="false"/>
                <w:bCs w:val="false"/>
                <w:sz w:val="18"/>
                <w:szCs w:val="18"/>
              </w:rPr>
              <w:t>5</w:t>
            </w:r>
            <w:r>
              <w:rPr>
                <w:rFonts w:eastAsia="Arial" w:cs="Arial"/>
                <w:b w:val="false"/>
                <w:bCs w:val="false"/>
                <w:sz w:val="18"/>
                <w:szCs w:val="18"/>
              </w:rPr>
              <w:t xml:space="preserve"> Practise management suite</w:t>
            </w:r>
            <w:r>
              <w:rPr>
                <w:rFonts w:eastAsia="Arial" w:cs="Arial"/>
                <w:b w:val="false"/>
                <w:bCs w:val="false"/>
                <w:sz w:val="18"/>
                <w:szCs w:val="18"/>
              </w:rPr>
              <w:t xml:space="preserve"> and one debt collection platform</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Reporting and Analytics Dashboard</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$19,200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Client-facing: agent performance, call outcomes, ROI metrics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Deployment Time Reduction Tooling</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$16,000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Compress contract-to-live timeline; improve client satisfaction</w:t>
            </w:r>
          </w:p>
        </w:tc>
      </w:tr>
      <w:tr>
        <w:trPr/>
        <w:tc>
          <w:tcPr>
            <w:tcW w:w="3200"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Fonts w:eastAsia="Arial" w:cs="Arial"/>
                <w:b/>
                <w:bCs/>
                <w:sz w:val="18"/>
                <w:szCs w:val="18"/>
              </w:rPr>
              <w:t>TOTAL — Product and Engineering (Full Raise)</w:t>
            </w:r>
          </w:p>
        </w:tc>
        <w:tc>
          <w:tcPr>
            <w:tcW w:w="1439"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right"/>
              <w:rPr/>
            </w:pPr>
            <w:r>
              <w:rPr>
                <w:rFonts w:eastAsia="Arial" w:cs="Arial"/>
                <w:b/>
                <w:bCs/>
                <w:sz w:val="18"/>
                <w:szCs w:val="18"/>
              </w:rPr>
              <w:t>$300,500</w:t>
            </w:r>
          </w:p>
        </w:tc>
        <w:tc>
          <w:tcPr>
            <w:tcW w:w="4721"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
          </w:p>
        </w:tc>
      </w:tr>
    </w:tbl>
    <w:p>
      <w:pPr>
        <w:pStyle w:val="Normal"/>
        <w:spacing w:before="80" w:after="80"/>
        <w:rPr/>
      </w:pPr>
      <w:r>
        <w:rPr/>
      </w:r>
    </w:p>
    <w:p>
      <w:pPr>
        <w:pStyle w:val="Normal"/>
        <w:spacing w:before="200" w:after="60"/>
        <w:rPr/>
      </w:pPr>
      <w:r>
        <w:rPr>
          <w:rFonts w:eastAsia="Arial" w:cs="Arial"/>
          <w:b/>
          <w:bCs/>
          <w:color w:val="1B3A6B"/>
          <w:sz w:val="22"/>
          <w:szCs w:val="22"/>
        </w:rPr>
        <w:t>Minimum Raise Allocation — $135,000  (27.0% of $500,000)</w:t>
      </w:r>
    </w:p>
    <w:p>
      <w:pPr>
        <w:pStyle w:val="Normal"/>
        <w:spacing w:before="60" w:after="60"/>
        <w:rPr/>
      </w:pPr>
      <w:r>
        <w:rPr>
          <w:rFonts w:eastAsia="Arial" w:cs="Arial"/>
          <w:sz w:val="20"/>
          <w:szCs w:val="20"/>
        </w:rPr>
        <w:t>Under the minimum raise, one senior engineering hire is made in Q1. Platform development is focused on reliability and two to three priority integrations only. Multi-agent orchestration and the analytics dashboard are deferred to a follow-on raise or funded from operating revenue.</w:t>
      </w:r>
    </w:p>
    <w:p>
      <w:pPr>
        <w:pStyle w:val="Normal"/>
        <w:spacing w:before="80" w:after="80"/>
        <w:rPr/>
      </w:pPr>
      <w:r>
        <w:rPr/>
      </w:r>
    </w:p>
    <w:tbl>
      <w:tblPr>
        <w:tblW w:w="9360" w:type="dxa"/>
        <w:jc w:val="left"/>
        <w:tblInd w:w="0" w:type="dxa"/>
        <w:tblLayout w:type="fixed"/>
        <w:tblCellMar>
          <w:top w:w="100" w:type="dxa"/>
          <w:left w:w="130" w:type="dxa"/>
          <w:bottom w:w="100" w:type="dxa"/>
          <w:right w:w="130" w:type="dxa"/>
        </w:tblCellMar>
      </w:tblPr>
      <w:tblGrid>
        <w:gridCol w:w="3200"/>
        <w:gridCol w:w="1439"/>
        <w:gridCol w:w="4721"/>
      </w:tblGrid>
      <w:tr>
        <w:trPr>
          <w:tblHeader w:val="true"/>
        </w:trPr>
        <w:tc>
          <w:tcPr>
            <w:tcW w:w="3200"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Line Item</w:t>
            </w:r>
          </w:p>
        </w:tc>
        <w:tc>
          <w:tcPr>
            <w:tcW w:w="1439"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Amount</w:t>
            </w:r>
          </w:p>
        </w:tc>
        <w:tc>
          <w:tcPr>
            <w:tcW w:w="4721"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Notes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Senior Engineer Hire 1 (Q1 start)</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$78,000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Full-year equivalent; platform stability and priority integrations</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Recruitment Costs (1 hire)</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$9,000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Recruitment fee and assessment tooling</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Voice AI Reliability Improvements</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$19,500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Core uptime and latency improvements; enterprise SLA readiness</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CRM Integrations (2–3 priority platforms)</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$16,500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 xml:space="preserve">Focus: </w:t>
            </w:r>
            <w:r>
              <w:rPr>
                <w:rFonts w:eastAsia="Arial" w:cs="Arial"/>
                <w:b w:val="false"/>
                <w:bCs w:val="false"/>
                <w:sz w:val="18"/>
                <w:szCs w:val="18"/>
              </w:rPr>
              <w:t>3 Practise management suite</w:t>
            </w:r>
            <w:r>
              <w:rPr>
                <w:rFonts w:eastAsia="Arial" w:cs="Arial"/>
                <w:b w:val="false"/>
                <w:bCs w:val="false"/>
                <w:sz w:val="18"/>
                <w:szCs w:val="18"/>
              </w:rPr>
              <w:t xml:space="preserve"> and one debt collection platform</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Deployment Tooling (reduced scope)</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$12,000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Partial automation of client onboarding and go-live process</w:t>
            </w:r>
          </w:p>
        </w:tc>
      </w:tr>
      <w:tr>
        <w:trPr/>
        <w:tc>
          <w:tcPr>
            <w:tcW w:w="3200"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Fonts w:eastAsia="Arial" w:cs="Arial"/>
                <w:b/>
                <w:bCs/>
                <w:sz w:val="18"/>
                <w:szCs w:val="18"/>
              </w:rPr>
              <w:t>TOTAL — Product and Engineering (Min. Raise)</w:t>
            </w:r>
          </w:p>
        </w:tc>
        <w:tc>
          <w:tcPr>
            <w:tcW w:w="1439"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right"/>
              <w:rPr/>
            </w:pPr>
            <w:r>
              <w:rPr>
                <w:rFonts w:eastAsia="Arial" w:cs="Arial"/>
                <w:b/>
                <w:bCs/>
                <w:sz w:val="18"/>
                <w:szCs w:val="18"/>
              </w:rPr>
              <w:t>$135,000</w:t>
            </w:r>
          </w:p>
        </w:tc>
        <w:tc>
          <w:tcPr>
            <w:tcW w:w="4721"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
          </w:p>
        </w:tc>
      </w:tr>
    </w:tbl>
    <w:p>
      <w:pPr>
        <w:pStyle w:val="Normal"/>
        <w:spacing w:before="80" w:after="80"/>
        <w:rPr/>
      </w:pPr>
      <w:r>
        <w:rPr/>
      </w:r>
    </w:p>
    <w:p>
      <w:pPr>
        <w:pStyle w:val="Normal"/>
        <w:spacing w:before="200" w:after="60"/>
        <w:rPr/>
      </w:pPr>
      <w:r>
        <w:rPr>
          <w:rFonts w:eastAsia="Arial" w:cs="Arial"/>
          <w:b/>
          <w:bCs/>
          <w:color w:val="1B3A6B"/>
          <w:sz w:val="22"/>
          <w:szCs w:val="22"/>
        </w:rPr>
        <w:t>Target Outcomes — Category 2</w:t>
      </w:r>
    </w:p>
    <w:p>
      <w:pPr>
        <w:pStyle w:val="ListParagraph"/>
        <w:numPr>
          <w:ilvl w:val="0"/>
          <w:numId w:val="1"/>
        </w:numPr>
        <w:spacing w:before="40" w:after="40"/>
        <w:rPr/>
      </w:pPr>
      <w:r>
        <w:rPr>
          <w:rFonts w:eastAsia="Arial" w:cs="Arial"/>
          <w:sz w:val="20"/>
          <w:szCs w:val="20"/>
        </w:rPr>
        <w:t>Full raise: Platform supporting 5x current client volume; 5+ CRM integrations live; 50%+ reduction in deployment time; multi-agent orchestration in production</w:t>
      </w:r>
    </w:p>
    <w:p>
      <w:pPr>
        <w:pStyle w:val="ListParagraph"/>
        <w:numPr>
          <w:ilvl w:val="0"/>
          <w:numId w:val="1"/>
        </w:numPr>
        <w:spacing w:before="40" w:after="40"/>
        <w:rPr/>
      </w:pPr>
      <w:r>
        <w:rPr>
          <w:rFonts w:eastAsia="Arial" w:cs="Arial"/>
          <w:sz w:val="20"/>
          <w:szCs w:val="20"/>
        </w:rPr>
        <w:t>Minimum raise: Platform stable and SLA-ready for enterprise contracts; 2–3 core integrations live; deployment time reduced by 25–30%</w:t>
      </w:r>
    </w:p>
    <w:p>
      <w:pPr>
        <w:pStyle w:val="Normal"/>
        <w:spacing w:before="80" w:after="80"/>
        <w:rPr/>
      </w:pPr>
      <w:r>
        <w:rPr/>
      </w:r>
    </w:p>
    <w:p>
      <w:pPr>
        <w:pStyle w:val="Normal"/>
        <w:spacing w:before="280" w:after="80"/>
        <w:rPr/>
      </w:pPr>
      <w:r>
        <w:rPr>
          <w:rFonts w:eastAsia="Arial" w:cs="Arial"/>
          <w:b/>
          <w:bCs/>
          <w:color w:val="2C5F9E"/>
          <w:sz w:val="26"/>
          <w:szCs w:val="26"/>
        </w:rPr>
        <w:t>Category 3 — Compute Infrastructure</w:t>
      </w:r>
    </w:p>
    <w:p>
      <w:pPr>
        <w:pStyle w:val="Normal"/>
        <w:spacing w:before="80" w:after="80"/>
        <w:rPr/>
      </w:pPr>
      <w:r>
        <w:rPr/>
      </w:r>
    </w:p>
    <w:p>
      <w:pPr>
        <w:pStyle w:val="Normal"/>
        <w:spacing w:before="200" w:after="60"/>
        <w:rPr/>
      </w:pPr>
      <w:r>
        <w:rPr>
          <w:rFonts w:eastAsia="Arial" w:cs="Arial"/>
          <w:b/>
          <w:bCs/>
          <w:color w:val="1B3A6B"/>
          <w:sz w:val="22"/>
          <w:szCs w:val="22"/>
        </w:rPr>
        <w:t>Full Raise Allocation — $241,000  (20.1% of $1,200,000)</w:t>
      </w:r>
    </w:p>
    <w:p>
      <w:pPr>
        <w:pStyle w:val="Normal"/>
        <w:spacing w:before="60" w:after="60"/>
        <w:rPr/>
      </w:pPr>
      <w:r>
        <w:rPr>
          <w:rFonts w:eastAsia="Arial" w:cs="Arial"/>
          <w:sz w:val="20"/>
          <w:szCs w:val="20"/>
        </w:rPr>
        <w:t>Australia's GPU compute market is supply-constrained. Early movers securing dedicated infrastructure gain a durable cost and performance advantage while enabling data sovereignty compliance — a direct procurement requirement for clients in healthcare, financial services, and government-adjacent sectors. The company will lease rather than purchase GPU infrastructure, preserving capital flexibility while locking in capacity across the deployment period.</w:t>
      </w:r>
    </w:p>
    <w:p>
      <w:pPr>
        <w:pStyle w:val="Normal"/>
        <w:spacing w:before="80" w:after="80"/>
        <w:rPr/>
      </w:pPr>
      <w:r>
        <w:rPr/>
      </w:r>
    </w:p>
    <w:tbl>
      <w:tblPr>
        <w:tblW w:w="9360" w:type="dxa"/>
        <w:jc w:val="left"/>
        <w:tblInd w:w="0" w:type="dxa"/>
        <w:tblLayout w:type="fixed"/>
        <w:tblCellMar>
          <w:top w:w="100" w:type="dxa"/>
          <w:left w:w="130" w:type="dxa"/>
          <w:bottom w:w="100" w:type="dxa"/>
          <w:right w:w="130" w:type="dxa"/>
        </w:tblCellMar>
      </w:tblPr>
      <w:tblGrid>
        <w:gridCol w:w="3200"/>
        <w:gridCol w:w="1439"/>
        <w:gridCol w:w="4721"/>
      </w:tblGrid>
      <w:tr>
        <w:trPr>
          <w:tblHeader w:val="true"/>
        </w:trPr>
        <w:tc>
          <w:tcPr>
            <w:tcW w:w="3200"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Line Item</w:t>
            </w:r>
          </w:p>
        </w:tc>
        <w:tc>
          <w:tcPr>
            <w:tcW w:w="1439"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Amount</w:t>
            </w:r>
          </w:p>
        </w:tc>
        <w:tc>
          <w:tcPr>
            <w:tcW w:w="4721"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Notes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GPU Lease — Primary Inference Cluster (12 months)</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$144,000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~$12,000/month; A100 or H100 equivalent capacity for production agents</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GPU Lease — Development and Staging Environment</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$24,000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~$2,000/month; isolated environment for testing and pre-production</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Infrastructure Management Tooling</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$14,500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Monitoring, alerting, auto-scaling; ops tooling licences</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Redundancy and Failover Architecture</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$28,500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Secondary region standby; disaster recovery configuration and testing</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Capacity Planning and Architecture Review</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$18,000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Specialist infrastructure advisory; 12–18 month growth modelling</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Data Sovereignty Compliance Documentation</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$12,000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Formal audit trail and documentation for enterprise due diligence</w:t>
            </w:r>
          </w:p>
        </w:tc>
      </w:tr>
      <w:tr>
        <w:trPr/>
        <w:tc>
          <w:tcPr>
            <w:tcW w:w="3200"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Fonts w:eastAsia="Arial" w:cs="Arial"/>
                <w:b/>
                <w:bCs/>
                <w:sz w:val="18"/>
                <w:szCs w:val="18"/>
              </w:rPr>
              <w:t>TOTAL — Compute Infrastructure (Full Raise)</w:t>
            </w:r>
          </w:p>
        </w:tc>
        <w:tc>
          <w:tcPr>
            <w:tcW w:w="1439"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right"/>
              <w:rPr/>
            </w:pPr>
            <w:r>
              <w:rPr>
                <w:rFonts w:eastAsia="Arial" w:cs="Arial"/>
                <w:b/>
                <w:bCs/>
                <w:sz w:val="18"/>
                <w:szCs w:val="18"/>
              </w:rPr>
              <w:t>$241,000</w:t>
            </w:r>
          </w:p>
        </w:tc>
        <w:tc>
          <w:tcPr>
            <w:tcW w:w="4721"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
          </w:p>
        </w:tc>
      </w:tr>
    </w:tbl>
    <w:p>
      <w:pPr>
        <w:pStyle w:val="Normal"/>
        <w:spacing w:before="80" w:after="80"/>
        <w:rPr/>
      </w:pPr>
      <w:r>
        <w:rPr/>
      </w:r>
    </w:p>
    <w:p>
      <w:pPr>
        <w:pStyle w:val="Normal"/>
        <w:spacing w:before="200" w:after="60"/>
        <w:rPr/>
      </w:pPr>
      <w:r>
        <w:rPr>
          <w:rFonts w:eastAsia="Arial" w:cs="Arial"/>
          <w:b/>
          <w:bCs/>
          <w:color w:val="1B3A6B"/>
          <w:sz w:val="22"/>
          <w:szCs w:val="22"/>
        </w:rPr>
        <w:t>Minimum Raise Allocation — $85,000  (17.0% of $500,000)</w:t>
      </w:r>
    </w:p>
    <w:p>
      <w:pPr>
        <w:pStyle w:val="Normal"/>
        <w:spacing w:before="60" w:after="60"/>
        <w:rPr/>
      </w:pPr>
      <w:r>
        <w:rPr>
          <w:rFonts w:eastAsia="Arial" w:cs="Arial"/>
          <w:sz w:val="20"/>
          <w:szCs w:val="20"/>
        </w:rPr>
        <w:t>Under the minimum raise, infrastructure investment is scaled to a single production GPU lease with basic monitoring. Redundancy, failover architecture, and capacity planning are phased to Q3–Q4 or deferred to the follow-on raise. The data sovereignty compliance documentation is maintained as a priority given its direct impact on enterprise deals.</w:t>
      </w:r>
    </w:p>
    <w:p>
      <w:pPr>
        <w:pStyle w:val="Normal"/>
        <w:spacing w:before="80" w:after="80"/>
        <w:rPr/>
      </w:pPr>
      <w:r>
        <w:rPr/>
      </w:r>
    </w:p>
    <w:tbl>
      <w:tblPr>
        <w:tblW w:w="9360" w:type="dxa"/>
        <w:jc w:val="left"/>
        <w:tblInd w:w="0" w:type="dxa"/>
        <w:tblLayout w:type="fixed"/>
        <w:tblCellMar>
          <w:top w:w="100" w:type="dxa"/>
          <w:left w:w="130" w:type="dxa"/>
          <w:bottom w:w="100" w:type="dxa"/>
          <w:right w:w="130" w:type="dxa"/>
        </w:tblCellMar>
      </w:tblPr>
      <w:tblGrid>
        <w:gridCol w:w="3200"/>
        <w:gridCol w:w="1439"/>
        <w:gridCol w:w="4721"/>
      </w:tblGrid>
      <w:tr>
        <w:trPr>
          <w:tblHeader w:val="true"/>
        </w:trPr>
        <w:tc>
          <w:tcPr>
            <w:tcW w:w="3200"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Line Item</w:t>
            </w:r>
          </w:p>
        </w:tc>
        <w:tc>
          <w:tcPr>
            <w:tcW w:w="1439"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Amount</w:t>
            </w:r>
          </w:p>
        </w:tc>
        <w:tc>
          <w:tcPr>
            <w:tcW w:w="4721"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Notes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GPU Lease — Primary Inference Cluster (12 months)</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$60,000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~$5,000/month; entry-level GPU cluster sufficient for current + near-term volume</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Infrastructure Management Tooling</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$8,500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Core monitoring and alerting only</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Basic Redundancy Configuration</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$10,000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Minimal failover; full DR architecture deferred</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Data Sovereignty Compliance Documentation</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$6,500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Priority maintained; required for enterprise procurement</w:t>
            </w:r>
          </w:p>
        </w:tc>
      </w:tr>
      <w:tr>
        <w:trPr/>
        <w:tc>
          <w:tcPr>
            <w:tcW w:w="3200"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Fonts w:eastAsia="Arial" w:cs="Arial"/>
                <w:b/>
                <w:bCs/>
                <w:sz w:val="18"/>
                <w:szCs w:val="18"/>
              </w:rPr>
              <w:t>TOTAL — Compute Infrastructure (Min. Raise)</w:t>
            </w:r>
          </w:p>
        </w:tc>
        <w:tc>
          <w:tcPr>
            <w:tcW w:w="1439"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right"/>
              <w:rPr/>
            </w:pPr>
            <w:r>
              <w:rPr>
                <w:rFonts w:eastAsia="Arial" w:cs="Arial"/>
                <w:b/>
                <w:bCs/>
                <w:sz w:val="18"/>
                <w:szCs w:val="18"/>
              </w:rPr>
              <w:t>$85,000</w:t>
            </w:r>
          </w:p>
        </w:tc>
        <w:tc>
          <w:tcPr>
            <w:tcW w:w="4721"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
          </w:p>
        </w:tc>
      </w:tr>
    </w:tbl>
    <w:p>
      <w:pPr>
        <w:pStyle w:val="Normal"/>
        <w:spacing w:before="80" w:after="80"/>
        <w:rPr/>
      </w:pPr>
      <w:r>
        <w:rPr/>
      </w:r>
    </w:p>
    <w:p>
      <w:pPr>
        <w:pStyle w:val="Normal"/>
        <w:spacing w:before="200" w:after="60"/>
        <w:rPr/>
      </w:pPr>
      <w:r>
        <w:rPr>
          <w:rFonts w:eastAsia="Arial" w:cs="Arial"/>
          <w:b/>
          <w:bCs/>
          <w:color w:val="1B3A6B"/>
          <w:sz w:val="22"/>
          <w:szCs w:val="22"/>
        </w:rPr>
        <w:t>Target Outcomes — Category 3</w:t>
      </w:r>
    </w:p>
    <w:p>
      <w:pPr>
        <w:pStyle w:val="ListParagraph"/>
        <w:numPr>
          <w:ilvl w:val="0"/>
          <w:numId w:val="1"/>
        </w:numPr>
        <w:spacing w:before="40" w:after="40"/>
        <w:rPr/>
      </w:pPr>
      <w:r>
        <w:rPr>
          <w:rFonts w:eastAsia="Arial" w:cs="Arial"/>
          <w:sz w:val="20"/>
          <w:szCs w:val="20"/>
        </w:rPr>
        <w:t>Full raise: Dedicated GPU infrastructure operational; 3x+ call volume capacity; &gt;30% reduction in per-call inference cost vs API providers; data sovereignty formally documented</w:t>
      </w:r>
    </w:p>
    <w:p>
      <w:pPr>
        <w:pStyle w:val="ListParagraph"/>
        <w:numPr>
          <w:ilvl w:val="0"/>
          <w:numId w:val="1"/>
        </w:numPr>
        <w:spacing w:before="40" w:after="40"/>
        <w:rPr/>
      </w:pPr>
      <w:r>
        <w:rPr>
          <w:rFonts w:eastAsia="Arial" w:cs="Arial"/>
          <w:sz w:val="20"/>
          <w:szCs w:val="20"/>
        </w:rPr>
        <w:t>Minimum raise: Production GPU lease live; data sovereignty documentation complete; infrastructure sufficient for near-term client growth</w:t>
      </w:r>
    </w:p>
    <w:p>
      <w:pPr>
        <w:pStyle w:val="Normal"/>
        <w:spacing w:before="80" w:after="80"/>
        <w:rPr/>
      </w:pPr>
      <w:r>
        <w:rPr/>
      </w:r>
    </w:p>
    <w:p>
      <w:pPr>
        <w:pStyle w:val="Normal"/>
        <w:rPr/>
      </w:pPr>
      <w:r>
        <w:rPr/>
      </w:r>
      <w:r>
        <w:br w:type="page"/>
      </w:r>
    </w:p>
    <w:p>
      <w:pPr>
        <w:pStyle w:val="Normal"/>
        <w:spacing w:before="0" w:after="80"/>
        <w:rPr/>
      </w:pPr>
      <w:r>
        <w:rPr>
          <w:rFonts w:eastAsia="Arial" w:cs="Arial"/>
          <w:b/>
          <w:bCs/>
          <w:color w:val="2C5F9E"/>
          <w:sz w:val="26"/>
          <w:szCs w:val="26"/>
        </w:rPr>
        <w:t>Category 4 — Operations and Customer Success</w:t>
      </w:r>
    </w:p>
    <w:p>
      <w:pPr>
        <w:pStyle w:val="Normal"/>
        <w:spacing w:before="80" w:after="80"/>
        <w:rPr/>
      </w:pPr>
      <w:r>
        <w:rPr/>
      </w:r>
    </w:p>
    <w:p>
      <w:pPr>
        <w:pStyle w:val="Normal"/>
        <w:spacing w:before="200" w:after="60"/>
        <w:rPr/>
      </w:pPr>
      <w:r>
        <w:rPr>
          <w:rFonts w:eastAsia="Arial" w:cs="Arial"/>
          <w:b/>
          <w:bCs/>
          <w:color w:val="1B3A6B"/>
          <w:sz w:val="22"/>
          <w:szCs w:val="22"/>
        </w:rPr>
        <w:t>Full Raise Allocation — $120,500  (10.0% of $1,200,000)</w:t>
      </w:r>
    </w:p>
    <w:p>
      <w:pPr>
        <w:pStyle w:val="Normal"/>
        <w:spacing w:before="60" w:after="60"/>
        <w:rPr/>
      </w:pPr>
      <w:r>
        <w:rPr>
          <w:rFonts w:eastAsia="Arial" w:cs="Arial"/>
          <w:sz w:val="20"/>
          <w:szCs w:val="20"/>
        </w:rPr>
        <w:t>Revenue retention and expansion are as important as new client acquisition. This allocation funds a dedicated customer success function, structured onboarding processes, and the QA and account expansion infrastructure required to drive net revenue retention above 110%.</w:t>
      </w:r>
    </w:p>
    <w:p>
      <w:pPr>
        <w:pStyle w:val="Normal"/>
        <w:spacing w:before="80" w:after="80"/>
        <w:rPr/>
      </w:pPr>
      <w:r>
        <w:rPr/>
      </w:r>
    </w:p>
    <w:tbl>
      <w:tblPr>
        <w:tblW w:w="9360" w:type="dxa"/>
        <w:jc w:val="left"/>
        <w:tblInd w:w="0" w:type="dxa"/>
        <w:tblLayout w:type="fixed"/>
        <w:tblCellMar>
          <w:top w:w="100" w:type="dxa"/>
          <w:left w:w="130" w:type="dxa"/>
          <w:bottom w:w="100" w:type="dxa"/>
          <w:right w:w="130" w:type="dxa"/>
        </w:tblCellMar>
      </w:tblPr>
      <w:tblGrid>
        <w:gridCol w:w="3200"/>
        <w:gridCol w:w="1439"/>
        <w:gridCol w:w="4721"/>
      </w:tblGrid>
      <w:tr>
        <w:trPr>
          <w:tblHeader w:val="true"/>
        </w:trPr>
        <w:tc>
          <w:tcPr>
            <w:tcW w:w="3200"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Line Item</w:t>
            </w:r>
          </w:p>
        </w:tc>
        <w:tc>
          <w:tcPr>
            <w:tcW w:w="1439"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Amount</w:t>
            </w:r>
          </w:p>
        </w:tc>
        <w:tc>
          <w:tcPr>
            <w:tcW w:w="4721"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Notes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Customer Success Manager (12 months)</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$72,000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Dedicated CSM at ~$72k p.a.; owns onboarding, QA, account growth</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Onboarding Process and Documentation</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$14,500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Playbook, client portal, onboarding automation; faster time-to-value</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QA Infrastructure and Agent Monitoring</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$16,000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Tooling and manual QA for ongoing AI agent performance review</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Expansion Revenue Programme</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$9,000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Account review cadence, upsell motion, usage-based growth initiatives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Client Reporting and Communication Infrastructure</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$9,000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Client-facing reporting, QBR templates, success metrics framework</w:t>
            </w:r>
          </w:p>
        </w:tc>
      </w:tr>
      <w:tr>
        <w:trPr/>
        <w:tc>
          <w:tcPr>
            <w:tcW w:w="3200"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Fonts w:eastAsia="Arial" w:cs="Arial"/>
                <w:b/>
                <w:bCs/>
                <w:sz w:val="18"/>
                <w:szCs w:val="18"/>
              </w:rPr>
              <w:t>TOTAL — Operations and CS (Full Raise)</w:t>
            </w:r>
          </w:p>
        </w:tc>
        <w:tc>
          <w:tcPr>
            <w:tcW w:w="1439"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right"/>
              <w:rPr/>
            </w:pPr>
            <w:r>
              <w:rPr>
                <w:rFonts w:eastAsia="Arial" w:cs="Arial"/>
                <w:b/>
                <w:bCs/>
                <w:sz w:val="18"/>
                <w:szCs w:val="18"/>
              </w:rPr>
              <w:t>$120,500</w:t>
            </w:r>
          </w:p>
        </w:tc>
        <w:tc>
          <w:tcPr>
            <w:tcW w:w="4721"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
          </w:p>
        </w:tc>
      </w:tr>
    </w:tbl>
    <w:p>
      <w:pPr>
        <w:pStyle w:val="Normal"/>
        <w:spacing w:before="80" w:after="80"/>
        <w:rPr/>
      </w:pPr>
      <w:r>
        <w:rPr/>
      </w:r>
    </w:p>
    <w:p>
      <w:pPr>
        <w:pStyle w:val="Normal"/>
        <w:spacing w:before="200" w:after="60"/>
        <w:rPr/>
      </w:pPr>
      <w:r>
        <w:rPr>
          <w:rFonts w:eastAsia="Arial" w:cs="Arial"/>
          <w:b/>
          <w:bCs/>
          <w:color w:val="1B3A6B"/>
          <w:sz w:val="22"/>
          <w:szCs w:val="22"/>
        </w:rPr>
        <w:t>Minimum Raise Allocation — $55,000  (11.0% of $500,000)</w:t>
      </w:r>
    </w:p>
    <w:p>
      <w:pPr>
        <w:pStyle w:val="Normal"/>
        <w:spacing w:before="60" w:after="60"/>
        <w:rPr/>
      </w:pPr>
      <w:r>
        <w:rPr>
          <w:rFonts w:eastAsia="Arial" w:cs="Arial"/>
          <w:sz w:val="20"/>
          <w:szCs w:val="20"/>
        </w:rPr>
        <w:t>Under the minimum raise, customer success is handled part-time by an existing team member supported by process documentation and tooling. A full CSM hire is deferred until revenue supports the cost. Core onboarding documentation and QA tooling remain funded as non-negotiables for client retention.</w:t>
      </w:r>
    </w:p>
    <w:p>
      <w:pPr>
        <w:pStyle w:val="Normal"/>
        <w:spacing w:before="80" w:after="80"/>
        <w:rPr/>
      </w:pPr>
      <w:r>
        <w:rPr/>
      </w:r>
    </w:p>
    <w:tbl>
      <w:tblPr>
        <w:tblW w:w="9360" w:type="dxa"/>
        <w:jc w:val="left"/>
        <w:tblInd w:w="0" w:type="dxa"/>
        <w:tblLayout w:type="fixed"/>
        <w:tblCellMar>
          <w:top w:w="100" w:type="dxa"/>
          <w:left w:w="130" w:type="dxa"/>
          <w:bottom w:w="100" w:type="dxa"/>
          <w:right w:w="130" w:type="dxa"/>
        </w:tblCellMar>
      </w:tblPr>
      <w:tblGrid>
        <w:gridCol w:w="3200"/>
        <w:gridCol w:w="1439"/>
        <w:gridCol w:w="4721"/>
      </w:tblGrid>
      <w:tr>
        <w:trPr>
          <w:tblHeader w:val="true"/>
        </w:trPr>
        <w:tc>
          <w:tcPr>
            <w:tcW w:w="3200"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Line Item</w:t>
            </w:r>
          </w:p>
        </w:tc>
        <w:tc>
          <w:tcPr>
            <w:tcW w:w="1439"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Amount</w:t>
            </w:r>
          </w:p>
        </w:tc>
        <w:tc>
          <w:tcPr>
            <w:tcW w:w="4721"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Notes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Part-Time CS Resource / Contractor</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$24,000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~$2,000/month for 12 months; existing team member or fractional hire</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Onboarding Process Documentation</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$12,000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Core playbook and client communication templates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QA Tooling (entry-level)</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$9,500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Basic call monitoring and performance review tooling</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Expansion Programme (light-touch)</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$9,500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Quarterly account reviews; upsell motion documentation</w:t>
            </w:r>
          </w:p>
        </w:tc>
      </w:tr>
      <w:tr>
        <w:trPr/>
        <w:tc>
          <w:tcPr>
            <w:tcW w:w="3200"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Fonts w:eastAsia="Arial" w:cs="Arial"/>
                <w:b/>
                <w:bCs/>
                <w:sz w:val="18"/>
                <w:szCs w:val="18"/>
              </w:rPr>
              <w:t>TOTAL — Operations and CS (Min. Raise)</w:t>
            </w:r>
          </w:p>
        </w:tc>
        <w:tc>
          <w:tcPr>
            <w:tcW w:w="1439"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right"/>
              <w:rPr/>
            </w:pPr>
            <w:r>
              <w:rPr>
                <w:rFonts w:eastAsia="Arial" w:cs="Arial"/>
                <w:b/>
                <w:bCs/>
                <w:sz w:val="18"/>
                <w:szCs w:val="18"/>
              </w:rPr>
              <w:t>$55,000</w:t>
            </w:r>
          </w:p>
        </w:tc>
        <w:tc>
          <w:tcPr>
            <w:tcW w:w="4721"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
          </w:p>
        </w:tc>
      </w:tr>
    </w:tbl>
    <w:p>
      <w:pPr>
        <w:pStyle w:val="Normal"/>
        <w:spacing w:before="80" w:after="80"/>
        <w:rPr/>
      </w:pPr>
      <w:r>
        <w:rPr/>
      </w:r>
    </w:p>
    <w:p>
      <w:pPr>
        <w:pStyle w:val="Normal"/>
        <w:spacing w:before="200" w:after="60"/>
        <w:rPr/>
      </w:pPr>
      <w:r>
        <w:rPr>
          <w:rFonts w:eastAsia="Arial" w:cs="Arial"/>
          <w:b/>
          <w:bCs/>
          <w:color w:val="1B3A6B"/>
          <w:sz w:val="22"/>
          <w:szCs w:val="22"/>
        </w:rPr>
        <w:t>Target Outcomes — Category 4</w:t>
      </w:r>
    </w:p>
    <w:p>
      <w:pPr>
        <w:pStyle w:val="ListParagraph"/>
        <w:numPr>
          <w:ilvl w:val="0"/>
          <w:numId w:val="1"/>
        </w:numPr>
        <w:spacing w:before="40" w:after="40"/>
        <w:rPr/>
      </w:pPr>
      <w:r>
        <w:rPr>
          <w:rFonts w:eastAsia="Arial" w:cs="Arial"/>
          <w:sz w:val="20"/>
          <w:szCs w:val="20"/>
        </w:rPr>
        <w:t>Full raise: Net revenue retention of 110%+; client onboarding completed within 10 business days; QA framework across all active deployments</w:t>
      </w:r>
    </w:p>
    <w:p>
      <w:pPr>
        <w:pStyle w:val="ListParagraph"/>
        <w:numPr>
          <w:ilvl w:val="0"/>
          <w:numId w:val="1"/>
        </w:numPr>
        <w:spacing w:before="40" w:after="40"/>
        <w:rPr/>
      </w:pPr>
      <w:r>
        <w:rPr>
          <w:rFonts w:eastAsia="Arial" w:cs="Arial"/>
          <w:sz w:val="20"/>
          <w:szCs w:val="20"/>
        </w:rPr>
        <w:t>Minimum raise: Retention managed without dedicated CS hire; onboarding process documented; QA tooling operational for priority accounts</w:t>
      </w:r>
    </w:p>
    <w:p>
      <w:pPr>
        <w:pStyle w:val="Normal"/>
        <w:spacing w:before="80" w:after="80"/>
        <w:rPr/>
      </w:pPr>
      <w:r>
        <w:rPr/>
      </w:r>
    </w:p>
    <w:p>
      <w:pPr>
        <w:pStyle w:val="Normal"/>
        <w:spacing w:before="280" w:after="80"/>
        <w:rPr/>
      </w:pPr>
      <w:r>
        <w:rPr>
          <w:rFonts w:eastAsia="Arial" w:cs="Arial"/>
          <w:b/>
          <w:bCs/>
          <w:color w:val="2C5F9E"/>
          <w:sz w:val="26"/>
          <w:szCs w:val="26"/>
        </w:rPr>
        <w:t>Category 5 — Compliance, Legal and Administration</w:t>
      </w:r>
    </w:p>
    <w:p>
      <w:pPr>
        <w:pStyle w:val="Normal"/>
        <w:spacing w:before="80" w:after="80"/>
        <w:rPr/>
      </w:pPr>
      <w:r>
        <w:rPr/>
      </w:r>
    </w:p>
    <w:p>
      <w:pPr>
        <w:pStyle w:val="Normal"/>
        <w:spacing w:before="200" w:after="60"/>
        <w:rPr/>
      </w:pPr>
      <w:r>
        <w:rPr>
          <w:rFonts w:eastAsia="Arial" w:cs="Arial"/>
          <w:b/>
          <w:bCs/>
          <w:color w:val="1B3A6B"/>
          <w:sz w:val="22"/>
          <w:szCs w:val="22"/>
        </w:rPr>
        <w:t>Full Raise Allocation — $56,500  (4.7% of $1,200,000)</w:t>
      </w:r>
    </w:p>
    <w:p>
      <w:pPr>
        <w:pStyle w:val="Normal"/>
        <w:spacing w:before="60" w:after="60"/>
        <w:rPr/>
      </w:pPr>
      <w:r>
        <w:rPr>
          <w:rFonts w:eastAsia="Arial" w:cs="Arial"/>
          <w:sz w:val="20"/>
          <w:szCs w:val="20"/>
        </w:rPr>
        <w:t>As Voice AI Solutions scales into regulated verticals and pursues enterprise contracts, a proactive compliance and legal foundation is essential. This allocation covers regulatory review, data security assessments, enterprise contract legal support, and general administrative overhead.</w:t>
      </w:r>
    </w:p>
    <w:p>
      <w:pPr>
        <w:pStyle w:val="Normal"/>
        <w:spacing w:before="80" w:after="80"/>
        <w:rPr/>
      </w:pPr>
      <w:r>
        <w:rPr/>
      </w:r>
    </w:p>
    <w:tbl>
      <w:tblPr>
        <w:tblW w:w="9360" w:type="dxa"/>
        <w:jc w:val="left"/>
        <w:tblInd w:w="0" w:type="dxa"/>
        <w:tblLayout w:type="fixed"/>
        <w:tblCellMar>
          <w:top w:w="100" w:type="dxa"/>
          <w:left w:w="130" w:type="dxa"/>
          <w:bottom w:w="100" w:type="dxa"/>
          <w:right w:w="130" w:type="dxa"/>
        </w:tblCellMar>
      </w:tblPr>
      <w:tblGrid>
        <w:gridCol w:w="3200"/>
        <w:gridCol w:w="1439"/>
        <w:gridCol w:w="4721"/>
      </w:tblGrid>
      <w:tr>
        <w:trPr>
          <w:tblHeader w:val="true"/>
        </w:trPr>
        <w:tc>
          <w:tcPr>
            <w:tcW w:w="3200"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Line Item</w:t>
            </w:r>
          </w:p>
        </w:tc>
        <w:tc>
          <w:tcPr>
            <w:tcW w:w="1439"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Amount</w:t>
            </w:r>
          </w:p>
        </w:tc>
        <w:tc>
          <w:tcPr>
            <w:tcW w:w="4721"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Notes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Regulatory Compliance Review (Privacy, Telecomms, Sector)</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$14,500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Australian Privacy Act, ACMA telecommunications, ASIC / APRA sector rules</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Data Security Assessments</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$11,000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ISO 27001 readiness; SOC 2 gap analysis; vendor security questionnaire support</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Enterprise Contract Legal Support</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$13,000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MSA templates, contract negotiation, IP assignments, partner agreements</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Investor and Corporate Documentation</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$6,000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Shareholder agreements, cap table management, ESOP documentation</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General Administrative Overhead</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$12,000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Software licences, D&amp;O insurance, company operational costs, ASIC fees</w:t>
            </w:r>
          </w:p>
        </w:tc>
      </w:tr>
      <w:tr>
        <w:trPr/>
        <w:tc>
          <w:tcPr>
            <w:tcW w:w="3200"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Fonts w:eastAsia="Arial" w:cs="Arial"/>
                <w:b/>
                <w:bCs/>
                <w:sz w:val="18"/>
                <w:szCs w:val="18"/>
              </w:rPr>
              <w:t>TOTAL — Compliance, Legal and Admin (Full Raise)</w:t>
            </w:r>
          </w:p>
        </w:tc>
        <w:tc>
          <w:tcPr>
            <w:tcW w:w="1439"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right"/>
              <w:rPr/>
            </w:pPr>
            <w:r>
              <w:rPr>
                <w:rFonts w:eastAsia="Arial" w:cs="Arial"/>
                <w:b/>
                <w:bCs/>
                <w:sz w:val="18"/>
                <w:szCs w:val="18"/>
              </w:rPr>
              <w:t>$56,500</w:t>
            </w:r>
          </w:p>
        </w:tc>
        <w:tc>
          <w:tcPr>
            <w:tcW w:w="4721"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
          </w:p>
        </w:tc>
      </w:tr>
    </w:tbl>
    <w:p>
      <w:pPr>
        <w:pStyle w:val="Normal"/>
        <w:spacing w:before="80" w:after="80"/>
        <w:rPr/>
      </w:pPr>
      <w:r>
        <w:rPr/>
      </w:r>
    </w:p>
    <w:p>
      <w:pPr>
        <w:pStyle w:val="Normal"/>
        <w:spacing w:before="200" w:after="60"/>
        <w:rPr/>
      </w:pPr>
      <w:r>
        <w:rPr>
          <w:rFonts w:eastAsia="Arial" w:cs="Arial"/>
          <w:b/>
          <w:bCs/>
          <w:color w:val="1B3A6B"/>
          <w:sz w:val="22"/>
          <w:szCs w:val="22"/>
        </w:rPr>
        <w:t>Minimum Raise Allocation — $33,000  (6.6% of $500,000)</w:t>
      </w:r>
    </w:p>
    <w:p>
      <w:pPr>
        <w:pStyle w:val="Normal"/>
        <w:spacing w:before="60" w:after="60"/>
        <w:rPr/>
      </w:pPr>
      <w:r>
        <w:rPr>
          <w:rFonts w:eastAsia="Arial" w:cs="Arial"/>
          <w:sz w:val="20"/>
          <w:szCs w:val="20"/>
        </w:rPr>
        <w:t>Under the minimum raise, compliance and legal spend is focused on the essentials needed to execute enterprise contracts and satisfy investor documentation requirements. SOC 2 and ISO assessments are deferred but planned for the follow-on raise.</w:t>
      </w:r>
    </w:p>
    <w:p>
      <w:pPr>
        <w:pStyle w:val="Normal"/>
        <w:spacing w:before="80" w:after="80"/>
        <w:rPr/>
      </w:pPr>
      <w:r>
        <w:rPr/>
      </w:r>
    </w:p>
    <w:tbl>
      <w:tblPr>
        <w:tblW w:w="9360" w:type="dxa"/>
        <w:jc w:val="left"/>
        <w:tblInd w:w="0" w:type="dxa"/>
        <w:tblLayout w:type="fixed"/>
        <w:tblCellMar>
          <w:top w:w="100" w:type="dxa"/>
          <w:left w:w="130" w:type="dxa"/>
          <w:bottom w:w="100" w:type="dxa"/>
          <w:right w:w="130" w:type="dxa"/>
        </w:tblCellMar>
      </w:tblPr>
      <w:tblGrid>
        <w:gridCol w:w="3200"/>
        <w:gridCol w:w="1439"/>
        <w:gridCol w:w="4721"/>
      </w:tblGrid>
      <w:tr>
        <w:trPr>
          <w:tblHeader w:val="true"/>
        </w:trPr>
        <w:tc>
          <w:tcPr>
            <w:tcW w:w="3200"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Line Item</w:t>
            </w:r>
          </w:p>
        </w:tc>
        <w:tc>
          <w:tcPr>
            <w:tcW w:w="1439"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Amount</w:t>
            </w:r>
          </w:p>
        </w:tc>
        <w:tc>
          <w:tcPr>
            <w:tcW w:w="4721"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Notes</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Regulatory Compliance — Core Review</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$8,000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Priority: Privacy Act, telecomms regulations; sector reviews deferred</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Enterprise Contract Legal Support</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$12,000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MSA templates and priority contract negotiation support</w:t>
            </w:r>
          </w:p>
        </w:tc>
      </w:tr>
      <w:tr>
        <w:trPr/>
        <w:tc>
          <w:tcPr>
            <w:tcW w:w="32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Investor and Corporate Documentation</w:t>
            </w:r>
          </w:p>
        </w:tc>
        <w:tc>
          <w:tcPr>
            <w:tcW w:w="143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$5,000</w:t>
            </w:r>
          </w:p>
        </w:tc>
        <w:tc>
          <w:tcPr>
            <w:tcW w:w="472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Core shareholder and corporate documents</w:t>
            </w:r>
          </w:p>
        </w:tc>
      </w:tr>
      <w:tr>
        <w:trPr/>
        <w:tc>
          <w:tcPr>
            <w:tcW w:w="32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General Administrative Overhead</w:t>
            </w:r>
          </w:p>
        </w:tc>
        <w:tc>
          <w:tcPr>
            <w:tcW w:w="143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$8,000</w:t>
            </w:r>
          </w:p>
        </w:tc>
        <w:tc>
          <w:tcPr>
            <w:tcW w:w="472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Software licences, insurance, ASIC fees</w:t>
            </w:r>
          </w:p>
        </w:tc>
      </w:tr>
      <w:tr>
        <w:trPr/>
        <w:tc>
          <w:tcPr>
            <w:tcW w:w="3200"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Fonts w:eastAsia="Arial" w:cs="Arial"/>
                <w:b/>
                <w:bCs/>
                <w:sz w:val="18"/>
                <w:szCs w:val="18"/>
              </w:rPr>
              <w:t>TOTAL — Compliance, Legal and Admin (Min. Raise)</w:t>
            </w:r>
          </w:p>
        </w:tc>
        <w:tc>
          <w:tcPr>
            <w:tcW w:w="1439"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right"/>
              <w:rPr/>
            </w:pPr>
            <w:r>
              <w:rPr>
                <w:rFonts w:eastAsia="Arial" w:cs="Arial"/>
                <w:b/>
                <w:bCs/>
                <w:sz w:val="18"/>
                <w:szCs w:val="18"/>
              </w:rPr>
              <w:t>$33,000</w:t>
            </w:r>
          </w:p>
        </w:tc>
        <w:tc>
          <w:tcPr>
            <w:tcW w:w="4721" w:type="dxa"/>
            <w:tcBorders>
              <w:top w:val="single" w:sz="2" w:space="0" w:color="B0C4DE"/>
              <w:left w:val="single" w:sz="2" w:space="0" w:color="B0C4DE"/>
              <w:bottom w:val="single" w:sz="2" w:space="0" w:color="B0C4DE"/>
              <w:right w:val="single" w:sz="2" w:space="0" w:color="B0C4DE"/>
            </w:tcBorders>
            <w:shd w:fill="D6E4F7" w:val="clear"/>
            <w:tcMar>
              <w:top w:w="80" w:type="dxa"/>
              <w:bottom w:w="80" w:type="dxa"/>
            </w:tcMar>
            <w:vAlign w:val="center"/>
          </w:tcPr>
          <w:p>
            <w:pPr>
              <w:pStyle w:val="Normal"/>
              <w:jc w:val="left"/>
              <w:rPr/>
            </w:pPr>
            <w:r>
              <w:rPr/>
            </w:r>
          </w:p>
        </w:tc>
      </w:tr>
    </w:tbl>
    <w:p>
      <w:pPr>
        <w:pStyle w:val="Normal"/>
        <w:spacing w:before="80" w:after="80"/>
        <w:rPr/>
      </w:pPr>
      <w:r>
        <w:rPr/>
      </w:r>
    </w:p>
    <w:p>
      <w:pPr>
        <w:pStyle w:val="Normal"/>
        <w:spacing w:before="200" w:after="60"/>
        <w:rPr/>
      </w:pPr>
      <w:r>
        <w:rPr>
          <w:rFonts w:eastAsia="Arial" w:cs="Arial"/>
          <w:b/>
          <w:bCs/>
          <w:color w:val="1B3A6B"/>
          <w:sz w:val="22"/>
          <w:szCs w:val="22"/>
        </w:rPr>
        <w:t>Target Outcomes — Category 5</w:t>
      </w:r>
    </w:p>
    <w:p>
      <w:pPr>
        <w:pStyle w:val="ListParagraph"/>
        <w:numPr>
          <w:ilvl w:val="0"/>
          <w:numId w:val="1"/>
        </w:numPr>
        <w:spacing w:before="40" w:after="40"/>
        <w:rPr/>
      </w:pPr>
      <w:r>
        <w:rPr>
          <w:rFonts w:eastAsia="Arial" w:cs="Arial"/>
          <w:sz w:val="20"/>
          <w:szCs w:val="20"/>
        </w:rPr>
        <w:t>Full raise: Compliance framework supporting healthcare, debt collection, and financial services verticals; enterprise-grade MSA templates operational; SOC 2 gap analysis completed</w:t>
      </w:r>
    </w:p>
    <w:p>
      <w:pPr>
        <w:pStyle w:val="ListParagraph"/>
        <w:numPr>
          <w:ilvl w:val="0"/>
          <w:numId w:val="1"/>
        </w:numPr>
        <w:spacing w:before="40" w:after="40"/>
        <w:rPr/>
      </w:pPr>
      <w:r>
        <w:rPr>
          <w:rFonts w:eastAsia="Arial" w:cs="Arial"/>
          <w:sz w:val="20"/>
          <w:szCs w:val="20"/>
        </w:rPr>
        <w:t>Minimum raise: Core regulatory compliance in place; MSA templates operational for priority verticals; corporate documentation current</w:t>
      </w:r>
    </w:p>
    <w:p>
      <w:pPr>
        <w:pStyle w:val="Normal"/>
        <w:spacing w:before="80" w:after="80"/>
        <w:rPr/>
      </w:pPr>
      <w:r>
        <w:rPr/>
      </w:r>
    </w:p>
    <w:p>
      <w:pPr>
        <w:pStyle w:val="Normal"/>
        <w:rPr/>
      </w:pPr>
      <w:r>
        <w:rPr/>
      </w:r>
      <w:r>
        <w:br w:type="page"/>
      </w:r>
    </w:p>
    <w:p>
      <w:pPr>
        <w:pStyle w:val="Normal"/>
        <w:pBdr>
          <w:bottom w:val="single" w:sz="6" w:space="4" w:color="1B3A6B"/>
        </w:pBdr>
        <w:spacing w:before="0" w:after="120"/>
        <w:rPr/>
      </w:pPr>
      <w:r>
        <w:rPr>
          <w:rFonts w:eastAsia="Arial" w:cs="Arial"/>
          <w:b/>
          <w:bCs/>
          <w:color w:val="1B3A6B"/>
          <w:sz w:val="30"/>
          <w:szCs w:val="30"/>
        </w:rPr>
        <w:t>5.  Scenario Comparison Summary</w:t>
      </w:r>
    </w:p>
    <w:p>
      <w:pPr>
        <w:pStyle w:val="Normal"/>
        <w:spacing w:before="60" w:after="60"/>
        <w:rPr/>
      </w:pPr>
      <w:r>
        <w:rPr>
          <w:rFonts w:eastAsia="Arial" w:cs="Arial"/>
          <w:sz w:val="20"/>
          <w:szCs w:val="20"/>
        </w:rPr>
        <w:t>The table below provides a consolidated view of how each raise scenario affects headcount, infrastructure scale, and priority trade-offs.</w:t>
      </w:r>
    </w:p>
    <w:p>
      <w:pPr>
        <w:pStyle w:val="Normal"/>
        <w:spacing w:before="80" w:after="80"/>
        <w:rPr/>
      </w:pPr>
      <w:r>
        <w:rPr/>
      </w:r>
    </w:p>
    <w:tbl>
      <w:tblPr>
        <w:tblW w:w="9360" w:type="dxa"/>
        <w:jc w:val="left"/>
        <w:tblInd w:w="0" w:type="dxa"/>
        <w:tblLayout w:type="fixed"/>
        <w:tblCellMar>
          <w:top w:w="100" w:type="dxa"/>
          <w:left w:w="130" w:type="dxa"/>
          <w:bottom w:w="100" w:type="dxa"/>
          <w:right w:w="130" w:type="dxa"/>
        </w:tblCellMar>
      </w:tblPr>
      <w:tblGrid>
        <w:gridCol w:w="2999"/>
        <w:gridCol w:w="1561"/>
        <w:gridCol w:w="4800"/>
      </w:tblGrid>
      <w:tr>
        <w:trPr>
          <w:tblHeader w:val="true"/>
        </w:trPr>
        <w:tc>
          <w:tcPr>
            <w:tcW w:w="2999"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Line Item</w:t>
            </w:r>
          </w:p>
        </w:tc>
        <w:tc>
          <w:tcPr>
            <w:tcW w:w="1561"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Amount</w:t>
            </w:r>
          </w:p>
        </w:tc>
        <w:tc>
          <w:tcPr>
            <w:tcW w:w="4800"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Deployment Notes</w:t>
            </w:r>
          </w:p>
        </w:tc>
      </w:tr>
      <w:tr>
        <w:trPr/>
        <w:tc>
          <w:tcPr>
            <w:tcW w:w="299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Sales Hires</w:t>
            </w:r>
          </w:p>
        </w:tc>
        <w:tc>
          <w:tcPr>
            <w:tcW w:w="156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5 (Q1–Q3)</w:t>
            </w:r>
          </w:p>
        </w:tc>
        <w:tc>
          <w:tcPr>
            <w:tcW w:w="48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2 (Q1–Q2) — focus on highest-impact verticals</w:t>
            </w:r>
          </w:p>
        </w:tc>
      </w:tr>
      <w:tr>
        <w:trPr/>
        <w:tc>
          <w:tcPr>
            <w:tcW w:w="299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Engineering Hires</w:t>
            </w:r>
          </w:p>
        </w:tc>
        <w:tc>
          <w:tcPr>
            <w:tcW w:w="156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2 (Q1–Q2)</w:t>
            </w:r>
          </w:p>
        </w:tc>
        <w:tc>
          <w:tcPr>
            <w:tcW w:w="48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1 (Q1) — platform stability and priority integrations</w:t>
            </w:r>
          </w:p>
        </w:tc>
      </w:tr>
      <w:tr>
        <w:trPr/>
        <w:tc>
          <w:tcPr>
            <w:tcW w:w="299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Customer Success</w:t>
            </w:r>
          </w:p>
        </w:tc>
        <w:tc>
          <w:tcPr>
            <w:tcW w:w="156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Dedicated CSM</w:t>
            </w:r>
          </w:p>
        </w:tc>
        <w:tc>
          <w:tcPr>
            <w:tcW w:w="48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Part-time / fractional resource</w:t>
            </w:r>
          </w:p>
        </w:tc>
      </w:tr>
      <w:tr>
        <w:trPr/>
        <w:tc>
          <w:tcPr>
            <w:tcW w:w="299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GPU Infrastructure</w:t>
            </w:r>
          </w:p>
        </w:tc>
        <w:tc>
          <w:tcPr>
            <w:tcW w:w="156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Full cluster + staging + failover (~$12k/mo)</w:t>
            </w:r>
          </w:p>
        </w:tc>
        <w:tc>
          <w:tcPr>
            <w:tcW w:w="48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Entry cluster only (~$5k/mo); no staging environment</w:t>
            </w:r>
          </w:p>
        </w:tc>
      </w:tr>
      <w:tr>
        <w:trPr/>
        <w:tc>
          <w:tcPr>
            <w:tcW w:w="299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Marketing and Events</w:t>
            </w:r>
          </w:p>
        </w:tc>
        <w:tc>
          <w:tcPr>
            <w:tcW w:w="156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Full programme — digital, events, content</w:t>
            </w:r>
          </w:p>
        </w:tc>
        <w:tc>
          <w:tcPr>
            <w:tcW w:w="48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Digital outbound only; events and PR deferred</w:t>
            </w:r>
          </w:p>
        </w:tc>
      </w:tr>
      <w:tr>
        <w:trPr/>
        <w:tc>
          <w:tcPr>
            <w:tcW w:w="299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Channel Partnerships</w:t>
            </w:r>
          </w:p>
        </w:tc>
        <w:tc>
          <w:tcPr>
            <w:tcW w:w="156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Dedicated BD resource; co-marketing budget</w:t>
            </w:r>
          </w:p>
        </w:tc>
        <w:tc>
          <w:tcPr>
            <w:tcW w:w="48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Light-touch; inbound-led only</w:t>
            </w:r>
          </w:p>
        </w:tc>
      </w:tr>
      <w:tr>
        <w:trPr/>
        <w:tc>
          <w:tcPr>
            <w:tcW w:w="299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Compliance and Legal</w:t>
            </w:r>
          </w:p>
        </w:tc>
        <w:tc>
          <w:tcPr>
            <w:tcW w:w="156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Full scope incl. SOC 2 gap analysis</w:t>
            </w:r>
          </w:p>
        </w:tc>
        <w:tc>
          <w:tcPr>
            <w:tcW w:w="48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Core only; security certifications deferred</w:t>
            </w:r>
          </w:p>
        </w:tc>
      </w:tr>
      <w:tr>
        <w:trPr/>
        <w:tc>
          <w:tcPr>
            <w:tcW w:w="299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Projected Operational Runway</w:t>
            </w:r>
          </w:p>
        </w:tc>
        <w:tc>
          <w:tcPr>
            <w:tcW w:w="156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right"/>
              <w:rPr/>
            </w:pPr>
            <w:r>
              <w:rPr>
                <w:rFonts w:eastAsia="Arial" w:cs="Arial"/>
                <w:b w:val="false"/>
                <w:bCs w:val="false"/>
                <w:sz w:val="18"/>
                <w:szCs w:val="18"/>
              </w:rPr>
              <w:t>14–18 months to cash neutral</w:t>
            </w:r>
          </w:p>
        </w:tc>
        <w:tc>
          <w:tcPr>
            <w:tcW w:w="48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7–10 months; requires follow-on or early revenue breakeven</w:t>
            </w:r>
          </w:p>
        </w:tc>
      </w:tr>
      <w:tr>
        <w:trPr/>
        <w:tc>
          <w:tcPr>
            <w:tcW w:w="299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Post-Raise Strategic Position</w:t>
            </w:r>
          </w:p>
        </w:tc>
        <w:tc>
          <w:tcPr>
            <w:tcW w:w="156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right"/>
              <w:rPr/>
            </w:pPr>
            <w:r>
              <w:rPr>
                <w:rFonts w:eastAsia="Arial" w:cs="Arial"/>
                <w:b w:val="false"/>
                <w:bCs w:val="false"/>
                <w:sz w:val="18"/>
                <w:szCs w:val="18"/>
              </w:rPr>
              <w:t>Full GTM engine; Series A ready</w:t>
            </w:r>
          </w:p>
        </w:tc>
        <w:tc>
          <w:tcPr>
            <w:tcW w:w="48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Lean GTM; bridge raise or revenue-led growth required</w:t>
            </w:r>
          </w:p>
        </w:tc>
      </w:tr>
    </w:tbl>
    <w:p>
      <w:pPr>
        <w:pStyle w:val="Normal"/>
        <w:spacing w:before="80" w:after="80"/>
        <w:rPr/>
      </w:pPr>
      <w:r>
        <w:rPr/>
      </w:r>
    </w:p>
    <w:p>
      <w:pPr>
        <w:pStyle w:val="Normal"/>
        <w:pBdr>
          <w:bottom w:val="single" w:sz="6" w:space="4" w:color="1B3A6B"/>
        </w:pBdr>
        <w:spacing w:before="360" w:after="120"/>
        <w:rPr/>
      </w:pPr>
      <w:r>
        <w:rPr>
          <w:rFonts w:eastAsia="Arial" w:cs="Arial"/>
          <w:b/>
          <w:bCs/>
          <w:color w:val="1B3A6B"/>
          <w:sz w:val="30"/>
          <w:szCs w:val="30"/>
        </w:rPr>
        <w:t>6.  Deployment Timeline and Milestones</w:t>
      </w:r>
    </w:p>
    <w:p>
      <w:pPr>
        <w:pStyle w:val="Normal"/>
        <w:spacing w:before="60" w:after="60"/>
        <w:rPr/>
      </w:pPr>
      <w:r>
        <w:rPr>
          <w:rFonts w:eastAsia="Arial" w:cs="Arial"/>
          <w:sz w:val="20"/>
          <w:szCs w:val="20"/>
        </w:rPr>
        <w:t>Milestones below reflect the full raise scenario. Under the minimum raise, Months 1–3 and 4–6 activities are scaled proportionally — particularly in headcount and infrastructure — but the sequencing and phase structure remain consistent.</w:t>
      </w:r>
    </w:p>
    <w:p>
      <w:pPr>
        <w:pStyle w:val="Normal"/>
        <w:spacing w:before="80" w:after="80"/>
        <w:rPr/>
      </w:pPr>
      <w:r>
        <w:rPr/>
      </w:r>
    </w:p>
    <w:tbl>
      <w:tblPr>
        <w:tblW w:w="9360" w:type="dxa"/>
        <w:jc w:val="left"/>
        <w:tblInd w:w="0" w:type="dxa"/>
        <w:tblLayout w:type="fixed"/>
        <w:tblCellMar>
          <w:top w:w="100" w:type="dxa"/>
          <w:left w:w="130" w:type="dxa"/>
          <w:bottom w:w="100" w:type="dxa"/>
          <w:right w:w="130" w:type="dxa"/>
        </w:tblCellMar>
      </w:tblPr>
      <w:tblGrid>
        <w:gridCol w:w="2000"/>
        <w:gridCol w:w="7359"/>
      </w:tblGrid>
      <w:tr>
        <w:trPr>
          <w:tblHeader w:val="true"/>
        </w:trPr>
        <w:tc>
          <w:tcPr>
            <w:tcW w:w="2000"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Phase</w:t>
            </w:r>
          </w:p>
        </w:tc>
        <w:tc>
          <w:tcPr>
            <w:tcW w:w="7359"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Key Activities and Milestones</w:t>
            </w:r>
          </w:p>
        </w:tc>
      </w:tr>
      <w:tr>
        <w:trPr/>
        <w:tc>
          <w:tcPr>
            <w:tcW w:w="20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bCs/>
                <w:sz w:val="18"/>
                <w:szCs w:val="18"/>
              </w:rPr>
              <w:t>Months 1–3</w:t>
            </w:r>
          </w:p>
        </w:tc>
        <w:tc>
          <w:tcPr>
            <w:tcW w:w="735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GPU lease executed and infrastructure deployed. Outbound sales tooling live. First 2 sales hires onboarded. Engineering recruitment commenced. Partnership conversations initiated in priority verticals. Initial client pilots contracted.</w:t>
            </w:r>
          </w:p>
        </w:tc>
      </w:tr>
      <w:tr>
        <w:trPr/>
        <w:tc>
          <w:tcPr>
            <w:tcW w:w="20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bCs/>
                <w:sz w:val="18"/>
                <w:szCs w:val="18"/>
              </w:rPr>
              <w:t>Months 4–6</w:t>
            </w:r>
          </w:p>
        </w:tc>
        <w:tc>
          <w:tcPr>
            <w:tcW w:w="735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Full planned sales headcount onboarded and ramped. Both engineering hires contributing to roadmap. First channel partnership signed. Core CRM integrations shipped. Platform reliability improvements live. First expansion revenue from early clients.</w:t>
            </w:r>
          </w:p>
        </w:tc>
      </w:tr>
      <w:tr>
        <w:trPr/>
        <w:tc>
          <w:tcPr>
            <w:tcW w:w="200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bCs/>
                <w:sz w:val="18"/>
                <w:szCs w:val="18"/>
              </w:rPr>
              <w:t>Months 7–12</w:t>
            </w:r>
          </w:p>
        </w:tc>
        <w:tc>
          <w:tcPr>
            <w:tcW w:w="735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Sales team at full productivity. Multi-agent orchestration released. Analytics dashboard live for clients. Net revenue retention programme driving expansion. International expansion groundwork initiated. Series A preparation commencing.</w:t>
            </w:r>
          </w:p>
        </w:tc>
      </w:tr>
      <w:tr>
        <w:trPr/>
        <w:tc>
          <w:tcPr>
            <w:tcW w:w="200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bCs/>
                <w:sz w:val="18"/>
                <w:szCs w:val="18"/>
              </w:rPr>
              <w:t>Months 13–18</w:t>
            </w:r>
          </w:p>
        </w:tc>
        <w:tc>
          <w:tcPr>
            <w:tcW w:w="735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Enterprise deals from months 9–12 closing. Buffer runway for extended sales cycles. Series A raise or bridge based on demonstrated commercial trajectory.</w:t>
            </w:r>
          </w:p>
        </w:tc>
      </w:tr>
    </w:tbl>
    <w:p>
      <w:pPr>
        <w:pStyle w:val="Normal"/>
        <w:spacing w:before="80" w:after="80"/>
        <w:rPr/>
      </w:pPr>
      <w:r>
        <w:rPr/>
      </w:r>
    </w:p>
    <w:p>
      <w:pPr>
        <w:pStyle w:val="Normal"/>
        <w:spacing w:before="60" w:after="60"/>
        <w:rPr/>
      </w:pPr>
      <w:r>
        <w:rPr>
          <w:rFonts w:eastAsia="Arial" w:cs="Arial"/>
          <w:sz w:val="20"/>
          <w:szCs w:val="20"/>
        </w:rPr>
        <w:t>The 13–18 month buffer period is built deliberately to accommodate enterprise sales cycles and to provide time for deals initiated in months 7–12 to close and convert to recognised revenue. Under the minimum raise, this window may require a bridge raise or be extended by early commercial revenue, depending on the pace of the pipeline established during months 1–6.</w:t>
      </w:r>
    </w:p>
    <w:p>
      <w:pPr>
        <w:pStyle w:val="Normal"/>
        <w:spacing w:before="80" w:after="80"/>
        <w:rPr/>
      </w:pPr>
      <w:r>
        <w:rPr/>
      </w:r>
    </w:p>
    <w:p>
      <w:pPr>
        <w:pStyle w:val="Normal"/>
        <w:pBdr>
          <w:bottom w:val="single" w:sz="6" w:space="4" w:color="1B3A6B"/>
        </w:pBdr>
        <w:spacing w:before="360" w:after="120"/>
        <w:rPr/>
      </w:pPr>
      <w:r>
        <w:rPr>
          <w:rFonts w:eastAsia="Arial" w:cs="Arial"/>
          <w:b/>
          <w:bCs/>
          <w:color w:val="1B3A6B"/>
          <w:sz w:val="30"/>
          <w:szCs w:val="30"/>
        </w:rPr>
        <w:t>7.  Runway Analysis</w:t>
      </w:r>
    </w:p>
    <w:p>
      <w:pPr>
        <w:pStyle w:val="Normal"/>
        <w:spacing w:before="60" w:after="60"/>
        <w:rPr/>
      </w:pPr>
      <w:r>
        <w:rPr>
          <w:rFonts w:eastAsia="Arial" w:cs="Arial"/>
          <w:sz w:val="20"/>
          <w:szCs w:val="20"/>
        </w:rPr>
        <w:t>The following runway projections are based on the current monthly burn rate of $28,000 and the projected burn ramp as headcount and infrastructure are added during the deployment period.</w:t>
      </w:r>
    </w:p>
    <w:p>
      <w:pPr>
        <w:pStyle w:val="Normal"/>
        <w:spacing w:before="80" w:after="80"/>
        <w:rPr/>
      </w:pPr>
      <w:r>
        <w:rPr/>
      </w:r>
    </w:p>
    <w:tbl>
      <w:tblPr>
        <w:tblW w:w="9360" w:type="dxa"/>
        <w:jc w:val="left"/>
        <w:tblInd w:w="0" w:type="dxa"/>
        <w:tblLayout w:type="fixed"/>
        <w:tblCellMar>
          <w:top w:w="100" w:type="dxa"/>
          <w:left w:w="130" w:type="dxa"/>
          <w:bottom w:w="100" w:type="dxa"/>
          <w:right w:w="130" w:type="dxa"/>
        </w:tblCellMar>
      </w:tblPr>
      <w:tblGrid>
        <w:gridCol w:w="3599"/>
        <w:gridCol w:w="2880"/>
        <w:gridCol w:w="2881"/>
      </w:tblGrid>
      <w:tr>
        <w:trPr>
          <w:tblHeader w:val="true"/>
        </w:trPr>
        <w:tc>
          <w:tcPr>
            <w:tcW w:w="3599"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Scenario</w:t>
            </w:r>
          </w:p>
        </w:tc>
        <w:tc>
          <w:tcPr>
            <w:tcW w:w="2880"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Full Raise ($1,200,000)</w:t>
            </w:r>
          </w:p>
        </w:tc>
        <w:tc>
          <w:tcPr>
            <w:tcW w:w="2881" w:type="dxa"/>
            <w:tcBorders>
              <w:top w:val="single" w:sz="2" w:space="0" w:color="B0C4DE"/>
              <w:left w:val="single" w:sz="2" w:space="0" w:color="B0C4DE"/>
              <w:bottom w:val="single" w:sz="2" w:space="0" w:color="B0C4DE"/>
              <w:right w:val="single" w:sz="2" w:space="0" w:color="B0C4DE"/>
            </w:tcBorders>
            <w:shd w:fill="1B3A6B" w:val="clear"/>
            <w:vAlign w:val="center"/>
          </w:tcPr>
          <w:p>
            <w:pPr>
              <w:pStyle w:val="Normal"/>
              <w:rPr/>
            </w:pPr>
            <w:r>
              <w:rPr>
                <w:rFonts w:eastAsia="Arial" w:cs="Arial"/>
                <w:b/>
                <w:bCs/>
                <w:color w:val="FFFFFF"/>
                <w:sz w:val="18"/>
                <w:szCs w:val="18"/>
              </w:rPr>
              <w:t>Minimum Raise ($500,000)</w:t>
            </w:r>
          </w:p>
        </w:tc>
      </w:tr>
      <w:tr>
        <w:trPr/>
        <w:tc>
          <w:tcPr>
            <w:tcW w:w="359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Static runway (current burn $28k/mo)</w:t>
            </w:r>
          </w:p>
        </w:tc>
        <w:tc>
          <w:tcPr>
            <w:tcW w:w="288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~42.9 months</w:t>
            </w:r>
          </w:p>
        </w:tc>
        <w:tc>
          <w:tcPr>
            <w:tcW w:w="288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~17.9 months</w:t>
            </w:r>
          </w:p>
        </w:tc>
      </w:tr>
      <w:tr>
        <w:trPr/>
        <w:tc>
          <w:tcPr>
            <w:tcW w:w="359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Months 1–3 (burn est. $50–65k/mo)</w:t>
            </w:r>
          </w:p>
        </w:tc>
        <w:tc>
          <w:tcPr>
            <w:tcW w:w="288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18–24 months total</w:t>
            </w:r>
          </w:p>
        </w:tc>
        <w:tc>
          <w:tcPr>
            <w:tcW w:w="288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7–10 months total</w:t>
            </w:r>
          </w:p>
        </w:tc>
      </w:tr>
      <w:tr>
        <w:trPr/>
        <w:tc>
          <w:tcPr>
            <w:tcW w:w="3599"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Months 4–6 (burn est. $90–110k/mo)</w:t>
            </w:r>
          </w:p>
        </w:tc>
        <w:tc>
          <w:tcPr>
            <w:tcW w:w="2880"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Reduces; revenue offsets</w:t>
            </w:r>
          </w:p>
        </w:tc>
        <w:tc>
          <w:tcPr>
            <w:tcW w:w="2881" w:type="dxa"/>
            <w:tcBorders>
              <w:top w:val="single" w:sz="2" w:space="0" w:color="B0C4DE"/>
              <w:left w:val="single" w:sz="2" w:space="0" w:color="B0C4DE"/>
              <w:bottom w:val="single" w:sz="2" w:space="0" w:color="B0C4DE"/>
              <w:right w:val="single" w:sz="2" w:space="0" w:color="B0C4DE"/>
            </w:tcBorders>
            <w:shd w:fill="FFFFFF" w:val="clear"/>
            <w:tcMar>
              <w:top w:w="80" w:type="dxa"/>
              <w:bottom w:w="80" w:type="dxa"/>
            </w:tcMar>
            <w:vAlign w:val="center"/>
          </w:tcPr>
          <w:p>
            <w:pPr>
              <w:pStyle w:val="Normal"/>
              <w:jc w:val="left"/>
              <w:rPr/>
            </w:pPr>
            <w:r>
              <w:rPr>
                <w:rFonts w:eastAsia="Arial" w:cs="Arial"/>
                <w:b w:val="false"/>
                <w:bCs w:val="false"/>
                <w:sz w:val="18"/>
                <w:szCs w:val="18"/>
              </w:rPr>
              <w:t>Limited — GTM priority only</w:t>
            </w:r>
          </w:p>
        </w:tc>
      </w:tr>
      <w:tr>
        <w:trPr/>
        <w:tc>
          <w:tcPr>
            <w:tcW w:w="3599"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Months 7–12 (revenue scaling)</w:t>
            </w:r>
          </w:p>
        </w:tc>
        <w:tc>
          <w:tcPr>
            <w:tcW w:w="2880"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Cash neutral target</w:t>
            </w:r>
          </w:p>
        </w:tc>
        <w:tc>
          <w:tcPr>
            <w:tcW w:w="2881" w:type="dxa"/>
            <w:tcBorders>
              <w:top w:val="single" w:sz="2" w:space="0" w:color="B0C4DE"/>
              <w:left w:val="single" w:sz="2" w:space="0" w:color="B0C4DE"/>
              <w:bottom w:val="single" w:sz="2" w:space="0" w:color="B0C4DE"/>
              <w:right w:val="single" w:sz="2" w:space="0" w:color="B0C4DE"/>
            </w:tcBorders>
            <w:shd w:fill="EEF4FB" w:val="clear"/>
            <w:tcMar>
              <w:top w:w="80" w:type="dxa"/>
              <w:bottom w:w="80" w:type="dxa"/>
            </w:tcMar>
            <w:vAlign w:val="center"/>
          </w:tcPr>
          <w:p>
            <w:pPr>
              <w:pStyle w:val="Normal"/>
              <w:jc w:val="left"/>
              <w:rPr/>
            </w:pPr>
            <w:r>
              <w:rPr>
                <w:rFonts w:eastAsia="Arial" w:cs="Arial"/>
                <w:b w:val="false"/>
                <w:bCs w:val="false"/>
                <w:sz w:val="18"/>
                <w:szCs w:val="18"/>
              </w:rPr>
              <w:t>Requires follow-on or acceleration</w:t>
            </w:r>
          </w:p>
        </w:tc>
      </w:tr>
    </w:tbl>
    <w:p>
      <w:pPr>
        <w:pStyle w:val="Normal"/>
        <w:spacing w:before="80" w:after="80"/>
        <w:rPr/>
      </w:pPr>
      <w:r>
        <w:rPr/>
      </w:r>
    </w:p>
    <w:p>
      <w:pPr>
        <w:pStyle w:val="Normal"/>
        <w:spacing w:before="60" w:after="60"/>
        <w:rPr/>
      </w:pPr>
      <w:r>
        <w:rPr>
          <w:rFonts w:eastAsia="Arial" w:cs="Arial"/>
          <w:sz w:val="20"/>
          <w:szCs w:val="20"/>
        </w:rPr>
        <w:t>Burn ramp assumptions: Months 1–3 reflect initial hiring lag and infrastructure setup ($50–65k/month). Months 4–6 reflect full headcount and infrastructure at steady state ($90–110k/month under full raise; $50–65k/month under minimum raise). From month 7 onwards, commercial revenue is expected to begin offsetting cash consumption as the sales team reaches productivity.</w:t>
      </w:r>
    </w:p>
    <w:p>
      <w:pPr>
        <w:pStyle w:val="Normal"/>
        <w:spacing w:before="80" w:after="80"/>
        <w:rPr/>
      </w:pPr>
      <w:r>
        <w:rPr/>
      </w:r>
    </w:p>
    <w:p>
      <w:pPr>
        <w:pStyle w:val="Normal"/>
        <w:spacing w:before="60" w:after="60"/>
        <w:rPr/>
      </w:pPr>
      <w:r>
        <w:rPr>
          <w:rFonts w:eastAsia="Arial" w:cs="Arial"/>
          <w:sz w:val="20"/>
          <w:szCs w:val="20"/>
        </w:rPr>
        <w:t>Note: Revenue generated during the deployment period is not included in the runway projections above. As client contracts are signed and revenue builds, both scenarios will extend materially beyond the figures shown. Investors should treat the runway figures as a conservative floor, not a ceiling.</w:t>
      </w:r>
    </w:p>
    <w:p>
      <w:pPr>
        <w:pStyle w:val="Normal"/>
        <w:spacing w:before="80" w:after="80"/>
        <w:rPr/>
      </w:pPr>
      <w:r>
        <w:rPr/>
      </w:r>
    </w:p>
    <w:p>
      <w:pPr>
        <w:pStyle w:val="Normal"/>
        <w:pBdr>
          <w:bottom w:val="single" w:sz="6" w:space="4" w:color="1B3A6B"/>
        </w:pBdr>
        <w:spacing w:before="360" w:after="120"/>
        <w:rPr/>
      </w:pPr>
      <w:r>
        <w:rPr>
          <w:rFonts w:eastAsia="Arial" w:cs="Arial"/>
          <w:b/>
          <w:bCs/>
          <w:color w:val="1B3A6B"/>
          <w:sz w:val="30"/>
          <w:szCs w:val="30"/>
        </w:rPr>
        <w:t>8.  Expected Outcomes</w:t>
      </w:r>
    </w:p>
    <w:p>
      <w:pPr>
        <w:pStyle w:val="Normal"/>
        <w:spacing w:before="200" w:after="60"/>
        <w:rPr/>
      </w:pPr>
      <w:r>
        <w:rPr>
          <w:rFonts w:eastAsia="Arial" w:cs="Arial"/>
          <w:b/>
          <w:bCs/>
          <w:color w:val="1B3A6B"/>
          <w:sz w:val="22"/>
          <w:szCs w:val="22"/>
        </w:rPr>
        <w:t>Full Raise — $1,200,000</w:t>
      </w:r>
    </w:p>
    <w:p>
      <w:pPr>
        <w:pStyle w:val="ListParagraph"/>
        <w:numPr>
          <w:ilvl w:val="0"/>
          <w:numId w:val="1"/>
        </w:numPr>
        <w:spacing w:before="40" w:after="40"/>
        <w:rPr/>
      </w:pPr>
      <w:r>
        <w:rPr>
          <w:rFonts w:eastAsia="Arial" w:cs="Arial"/>
          <w:sz w:val="20"/>
          <w:szCs w:val="20"/>
        </w:rPr>
        <w:t>A fully operational GTM engine with 5 ramped sales professionals, structured demand generation, and active channel partnerships in two or more verticals</w:t>
      </w:r>
    </w:p>
    <w:p>
      <w:pPr>
        <w:pStyle w:val="ListParagraph"/>
        <w:numPr>
          <w:ilvl w:val="0"/>
          <w:numId w:val="1"/>
        </w:numPr>
        <w:spacing w:before="40" w:after="40"/>
        <w:rPr/>
      </w:pPr>
      <w:r>
        <w:rPr>
          <w:rFonts w:eastAsia="Arial" w:cs="Arial"/>
          <w:sz w:val="20"/>
          <w:szCs w:val="20"/>
        </w:rPr>
        <w:t>A platform capable of supporting a materially larger enterprise client base — with multi-agent orchestration, advanced analytics, and deep CRM integrations in production</w:t>
      </w:r>
    </w:p>
    <w:p>
      <w:pPr>
        <w:pStyle w:val="ListParagraph"/>
        <w:numPr>
          <w:ilvl w:val="0"/>
          <w:numId w:val="1"/>
        </w:numPr>
        <w:spacing w:before="40" w:after="40"/>
        <w:rPr/>
      </w:pPr>
      <w:r>
        <w:rPr>
          <w:rFonts w:eastAsia="Arial" w:cs="Arial"/>
          <w:sz w:val="20"/>
          <w:szCs w:val="20"/>
        </w:rPr>
        <w:t>Dedicated GPU infrastructure in Australia, delivering per-call cost advantages and formally documented data sovereignty compliance</w:t>
      </w:r>
    </w:p>
    <w:p>
      <w:pPr>
        <w:pStyle w:val="ListParagraph"/>
        <w:numPr>
          <w:ilvl w:val="0"/>
          <w:numId w:val="1"/>
        </w:numPr>
        <w:spacing w:before="40" w:after="40"/>
        <w:rPr/>
      </w:pPr>
      <w:r>
        <w:rPr>
          <w:rFonts w:eastAsia="Arial" w:cs="Arial"/>
          <w:sz w:val="20"/>
          <w:szCs w:val="20"/>
        </w:rPr>
        <w:t>A customer success function with defined onboarding, QA, and expansion processes — targeting net revenue retention above 110%</w:t>
      </w:r>
    </w:p>
    <w:p>
      <w:pPr>
        <w:pStyle w:val="ListParagraph"/>
        <w:numPr>
          <w:ilvl w:val="0"/>
          <w:numId w:val="1"/>
        </w:numPr>
        <w:spacing w:before="40" w:after="40"/>
        <w:rPr/>
      </w:pPr>
      <w:r>
        <w:rPr>
          <w:rFonts w:eastAsia="Arial" w:cs="Arial"/>
          <w:sz w:val="20"/>
          <w:szCs w:val="20"/>
        </w:rPr>
        <w:t>A company positioned for a Series A raise on the strength of demonstrated commercial trajectory, expanding enterprise client base, and defensible infrastructure</w:t>
      </w:r>
    </w:p>
    <w:p>
      <w:pPr>
        <w:pStyle w:val="Normal"/>
        <w:spacing w:before="80" w:after="80"/>
        <w:rPr/>
      </w:pPr>
      <w:r>
        <w:rPr/>
      </w:r>
    </w:p>
    <w:p>
      <w:pPr>
        <w:pStyle w:val="Normal"/>
        <w:spacing w:before="200" w:after="60"/>
        <w:rPr/>
      </w:pPr>
      <w:r>
        <w:rPr>
          <w:rFonts w:eastAsia="Arial" w:cs="Arial"/>
          <w:b/>
          <w:bCs/>
          <w:color w:val="1B3A6B"/>
          <w:sz w:val="22"/>
          <w:szCs w:val="22"/>
        </w:rPr>
        <w:t>Minimum Raise — $500,000</w:t>
      </w:r>
    </w:p>
    <w:p>
      <w:pPr>
        <w:pStyle w:val="ListParagraph"/>
        <w:numPr>
          <w:ilvl w:val="0"/>
          <w:numId w:val="1"/>
        </w:numPr>
        <w:spacing w:before="40" w:after="40"/>
        <w:rPr/>
      </w:pPr>
      <w:r>
        <w:rPr>
          <w:rFonts w:eastAsia="Arial" w:cs="Arial"/>
          <w:sz w:val="20"/>
          <w:szCs w:val="20"/>
        </w:rPr>
        <w:t>A focused GTM motion with 2 ramped sales professionals, outbound tooling, and core CRM and playbook infrastructure operational</w:t>
      </w:r>
    </w:p>
    <w:p>
      <w:pPr>
        <w:pStyle w:val="ListParagraph"/>
        <w:numPr>
          <w:ilvl w:val="0"/>
          <w:numId w:val="1"/>
        </w:numPr>
        <w:spacing w:before="40" w:after="40"/>
        <w:rPr/>
      </w:pPr>
      <w:r>
        <w:rPr>
          <w:rFonts w:eastAsia="Arial" w:cs="Arial"/>
          <w:sz w:val="20"/>
          <w:szCs w:val="20"/>
        </w:rPr>
        <w:t>One senior engineering hire contributing to platform stability and priority integrations</w:t>
      </w:r>
    </w:p>
    <w:p>
      <w:pPr>
        <w:pStyle w:val="ListParagraph"/>
        <w:numPr>
          <w:ilvl w:val="0"/>
          <w:numId w:val="1"/>
        </w:numPr>
        <w:spacing w:before="40" w:after="40"/>
        <w:rPr/>
      </w:pPr>
      <w:r>
        <w:rPr>
          <w:rFonts w:eastAsia="Arial" w:cs="Arial"/>
          <w:sz w:val="20"/>
          <w:szCs w:val="20"/>
        </w:rPr>
        <w:t>Entry-level Australian GPU infrastructure live and supporting production workloads</w:t>
      </w:r>
    </w:p>
    <w:p>
      <w:pPr>
        <w:pStyle w:val="ListParagraph"/>
        <w:numPr>
          <w:ilvl w:val="0"/>
          <w:numId w:val="1"/>
        </w:numPr>
        <w:spacing w:before="40" w:after="40"/>
        <w:rPr/>
      </w:pPr>
      <w:r>
        <w:rPr>
          <w:rFonts w:eastAsia="Arial" w:cs="Arial"/>
          <w:sz w:val="20"/>
          <w:szCs w:val="20"/>
        </w:rPr>
        <w:t>Core compliance and legal foundation in place for enterprise contract execution</w:t>
      </w:r>
    </w:p>
    <w:p>
      <w:pPr>
        <w:pStyle w:val="ListParagraph"/>
        <w:numPr>
          <w:ilvl w:val="0"/>
          <w:numId w:val="1"/>
        </w:numPr>
        <w:spacing w:before="40" w:after="40"/>
        <w:rPr/>
      </w:pPr>
      <w:r>
        <w:rPr>
          <w:rFonts w:eastAsia="Arial" w:cs="Arial"/>
          <w:sz w:val="20"/>
          <w:szCs w:val="20"/>
        </w:rPr>
        <w:t>A defined commercial pipeline from which a follow-on raise or revenue-led growth can be justified to investors or the board</w:t>
      </w:r>
    </w:p>
    <w:p>
      <w:pPr>
        <w:pStyle w:val="Normal"/>
        <w:spacing w:before="80" w:after="80"/>
        <w:rPr/>
      </w:pPr>
      <w:r>
        <w:rPr/>
      </w:r>
    </w:p>
    <w:p>
      <w:pPr>
        <w:pStyle w:val="Normal"/>
        <w:pBdr>
          <w:top w:val="single" w:sz="8" w:space="4" w:color="2C5F9E"/>
          <w:right w:val="single" w:sz="8" w:space="4" w:color="2C5F9E"/>
        </w:pBdr>
        <w:spacing w:before="120" w:after="40"/>
        <w:ind w:left="360" w:right="360"/>
        <w:rPr/>
      </w:pPr>
      <w:r>
        <w:rPr>
          <w:rFonts w:eastAsia="Arial" w:cs="Arial"/>
          <w:i/>
          <w:iCs/>
          <w:sz w:val="20"/>
          <w:szCs w:val="20"/>
        </w:rPr>
        <w:t>Voice AI Solutions is building the infrastructure layer for enterprise voice automation in Australia.</w:t>
      </w:r>
    </w:p>
    <w:p>
      <w:pPr>
        <w:pStyle w:val="Normal"/>
        <w:pBdr>
          <w:right w:val="single" w:sz="8" w:space="4" w:color="2C5F9E"/>
        </w:pBdr>
        <w:spacing w:before="40" w:after="40"/>
        <w:ind w:left="360" w:right="360"/>
        <w:rPr/>
      </w:pPr>
      <w:r>
        <w:rPr>
          <w:rFonts w:eastAsia="Arial" w:cs="Arial"/>
          <w:i/>
          <w:iCs/>
          <w:sz w:val="20"/>
          <w:szCs w:val="20"/>
        </w:rPr>
        <w:t>Both raise scenarios fund a disciplined, sequenced approach to commercial growth — starting</w:t>
      </w:r>
    </w:p>
    <w:p>
      <w:pPr>
        <w:pStyle w:val="Normal"/>
        <w:pBdr>
          <w:bottom w:val="single" w:sz="8" w:space="4" w:color="2C5F9E"/>
          <w:right w:val="single" w:sz="8" w:space="4" w:color="2C5F9E"/>
        </w:pBdr>
        <w:spacing w:before="40" w:after="120"/>
        <w:ind w:left="360" w:right="360"/>
        <w:rPr/>
      </w:pPr>
      <w:r>
        <w:rPr>
          <w:rFonts w:eastAsia="Arial" w:cs="Arial"/>
          <w:i/>
          <w:iCs/>
          <w:sz w:val="20"/>
          <w:szCs w:val="20"/>
        </w:rPr>
        <w:t>with the go-to-market engine that will generate the revenue to sustain everything that follows.</w:t>
      </w:r>
    </w:p>
    <w:p>
      <w:pPr>
        <w:pStyle w:val="Normal"/>
        <w:spacing w:before="80" w:after="80"/>
        <w:rPr/>
      </w:pPr>
      <w:r>
        <w:rPr/>
      </w:r>
    </w:p>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80" w:hanging="24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AU"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en-AU" w:eastAsia="zh-CN" w:bidi="hi-IN"/>
    </w:rPr>
  </w:style>
  <w:style w:type="paragraph" w:styleId="Heading1">
    <w:name w:val="Heading 1"/>
    <w:basedOn w:val="Heading"/>
    <w:qFormat/>
    <w:pPr>
      <w:spacing w:before="360" w:after="120"/>
      <w:outlineLvl w:val="0"/>
    </w:pPr>
    <w:rPr>
      <w:rFonts w:ascii="Arial" w:hAnsi="Arial" w:eastAsia="Arial" w:cs="Arial"/>
      <w:b/>
      <w:bCs/>
      <w:color w:val="1B3A6B"/>
      <w:sz w:val="30"/>
      <w:szCs w:val="30"/>
    </w:rPr>
  </w:style>
  <w:style w:type="paragraph" w:styleId="Heading2">
    <w:name w:val="Heading 2"/>
    <w:basedOn w:val="Heading"/>
    <w:qFormat/>
    <w:pPr>
      <w:spacing w:before="280" w:after="80"/>
      <w:outlineLvl w:val="1"/>
    </w:pPr>
    <w:rPr>
      <w:rFonts w:ascii="Arial" w:hAnsi="Arial" w:eastAsia="Arial" w:cs="Arial"/>
      <w:b/>
      <w:bCs/>
      <w:color w:val="2C5F9E"/>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0"/>
      <w:szCs w:val="20"/>
      <w:lang w:val="en-AU"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AU"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161</TotalTime>
  <Application>LibreOffice/24.2.3.2$MacOSX_X86_64 LibreOffice_project/433d9c2ded56988e8a90e6b2e771ee4e6a5ab2ba</Application>
  <AppVersion>15.0000</AppVersion>
  <Pages>13</Pages>
  <Words>3231</Words>
  <Characters>20430</Characters>
  <CharactersWithSpaces>23266</CharactersWithSpaces>
  <Paragraphs>439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2026-04-27T02:04:10Z</dcterms:created>
  <dc:creator>Un-named</dc:creator>
  <dc:description/>
  <dc:language>en-AU</dc:language>
  <cp:lastModifiedBy>Digital Soul Tech</cp:lastModifiedBy>
  <dcterms:modified xsi:type="dcterms:W3CDTF">2026-04-27T16:04:38Z</dcterms:modified>
  <cp:revision>3</cp:revision>
  <dc:subject/>
  <dc:title/>
</cp:coreProperties>
</file>