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A217" w14:textId="0C62E26E" w:rsidR="005D4500" w:rsidRPr="00ED4391" w:rsidRDefault="003E76E3" w:rsidP="00CC186E">
      <w:pPr>
        <w:pStyle w:val="Titel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Title</w:t>
      </w:r>
    </w:p>
    <w:p w14:paraId="0AFE45A7" w14:textId="77777777" w:rsidR="0017154C" w:rsidRPr="00ED4391" w:rsidRDefault="0017154C" w:rsidP="0017154C">
      <w:pPr>
        <w:tabs>
          <w:tab w:val="clear" w:pos="3068"/>
        </w:tabs>
        <w:rPr>
          <w:rFonts w:asciiTheme="majorBidi" w:hAnsiTheme="majorBidi" w:cstheme="majorBidi"/>
          <w:szCs w:val="22"/>
        </w:rPr>
      </w:pPr>
    </w:p>
    <w:p w14:paraId="57C2CFDD" w14:textId="2F45B1DD" w:rsidR="0017154C" w:rsidRPr="00ED4391" w:rsidRDefault="003E76E3" w:rsidP="00DA3A02">
      <w:pPr>
        <w:pStyle w:val="Author"/>
      </w:pPr>
      <w:r>
        <w:t>Author</w:t>
      </w:r>
      <w:r w:rsidR="0017154C" w:rsidRPr="00ED4391">
        <w:rPr>
          <w:vertAlign w:val="superscript"/>
        </w:rPr>
        <w:t>1</w:t>
      </w:r>
    </w:p>
    <w:p w14:paraId="67AD33F7" w14:textId="45F95E39" w:rsidR="003E76E3" w:rsidRPr="00ED4391" w:rsidRDefault="0017154C" w:rsidP="003E76E3">
      <w:pPr>
        <w:pStyle w:val="Author"/>
      </w:pPr>
      <w:r w:rsidRPr="00ED4391">
        <w:rPr>
          <w:vertAlign w:val="superscript"/>
        </w:rPr>
        <w:t xml:space="preserve">1 </w:t>
      </w:r>
      <w:r w:rsidR="003E76E3">
        <w:t>Affiliation</w:t>
      </w:r>
    </w:p>
    <w:p w14:paraId="7AAF6D08" w14:textId="1FC532EB" w:rsidR="0017154C" w:rsidRPr="00ED4391" w:rsidRDefault="0017154C" w:rsidP="00DA3A02">
      <w:pPr>
        <w:pStyle w:val="Author"/>
      </w:pPr>
    </w:p>
    <w:p w14:paraId="36CD0B3A" w14:textId="77777777" w:rsidR="0017154C" w:rsidRPr="00ED4391" w:rsidRDefault="0017154C" w:rsidP="003E76E3">
      <w:pPr>
        <w:tabs>
          <w:tab w:val="clear" w:pos="3068"/>
        </w:tabs>
        <w:ind w:firstLine="0"/>
        <w:rPr>
          <w:rFonts w:asciiTheme="majorBidi" w:hAnsiTheme="majorBidi" w:cstheme="majorBidi"/>
          <w:szCs w:val="22"/>
        </w:rPr>
      </w:pPr>
    </w:p>
    <w:p w14:paraId="3E30800D" w14:textId="77777777" w:rsidR="0017154C" w:rsidRPr="00ED4391" w:rsidRDefault="0017154C" w:rsidP="00CC186E">
      <w:pPr>
        <w:pStyle w:val="berschrift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Abstract</w:t>
      </w:r>
    </w:p>
    <w:p w14:paraId="403CBC78" w14:textId="7E5AB787" w:rsidR="003E76E3" w:rsidRPr="00ED4391" w:rsidRDefault="003E76E3" w:rsidP="003E76E3">
      <w:pPr>
        <w:tabs>
          <w:tab w:val="clear" w:pos="3068"/>
        </w:tabs>
        <w:ind w:firstLine="0"/>
        <w:rPr>
          <w:rFonts w:asciiTheme="majorBidi" w:hAnsiTheme="majorBidi" w:cstheme="majorBidi"/>
          <w:szCs w:val="22"/>
        </w:rPr>
      </w:pPr>
      <w:r w:rsidRPr="003E76E3">
        <w:rPr>
          <w:rFonts w:asciiTheme="majorBidi" w:hAnsiTheme="majorBidi" w:cstheme="majorBidi"/>
          <w:szCs w:val="22"/>
        </w:rPr>
        <w:t xml:space="preserve">Lorem ipsum dolor sit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</w:t>
      </w:r>
      <w:proofErr w:type="spellStart"/>
      <w:r w:rsidRPr="003E76E3">
        <w:rPr>
          <w:rFonts w:asciiTheme="majorBidi" w:hAnsiTheme="majorBidi" w:cstheme="majorBidi"/>
          <w:szCs w:val="22"/>
        </w:rPr>
        <w:t>consetetur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sadipscing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elitr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nonumy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eirmod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tempor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invidunt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ut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labore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dolore magna </w:t>
      </w:r>
      <w:proofErr w:type="spellStart"/>
      <w:r w:rsidRPr="003E76E3">
        <w:rPr>
          <w:rFonts w:asciiTheme="majorBidi" w:hAnsiTheme="majorBidi" w:cstheme="majorBidi"/>
          <w:szCs w:val="22"/>
        </w:rPr>
        <w:t>aliquyam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erat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voluptua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At </w:t>
      </w:r>
      <w:proofErr w:type="spellStart"/>
      <w:r w:rsidRPr="003E76E3">
        <w:rPr>
          <w:rFonts w:asciiTheme="majorBidi" w:hAnsiTheme="majorBidi" w:cstheme="majorBidi"/>
          <w:szCs w:val="22"/>
        </w:rPr>
        <w:t>vero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eos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accusam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justo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duo </w:t>
      </w:r>
      <w:proofErr w:type="spellStart"/>
      <w:r w:rsidRPr="003E76E3">
        <w:rPr>
          <w:rFonts w:asciiTheme="majorBidi" w:hAnsiTheme="majorBidi" w:cstheme="majorBidi"/>
          <w:szCs w:val="22"/>
        </w:rPr>
        <w:t>dolores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ea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rebum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Stet </w:t>
      </w:r>
      <w:proofErr w:type="spellStart"/>
      <w:r w:rsidRPr="003E76E3">
        <w:rPr>
          <w:rFonts w:asciiTheme="majorBidi" w:hAnsiTheme="majorBidi" w:cstheme="majorBidi"/>
          <w:szCs w:val="22"/>
        </w:rPr>
        <w:t>clita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kasd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gubergren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no sea </w:t>
      </w:r>
      <w:proofErr w:type="spellStart"/>
      <w:r w:rsidRPr="003E76E3">
        <w:rPr>
          <w:rFonts w:asciiTheme="majorBidi" w:hAnsiTheme="majorBidi" w:cstheme="majorBidi"/>
          <w:szCs w:val="22"/>
        </w:rPr>
        <w:t>takimata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sanctus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est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Lorem ipsum dolor </w:t>
      </w:r>
      <w:proofErr w:type="gramStart"/>
      <w:r w:rsidRPr="003E76E3">
        <w:rPr>
          <w:rFonts w:asciiTheme="majorBidi" w:hAnsiTheme="majorBidi" w:cstheme="majorBidi"/>
          <w:szCs w:val="22"/>
        </w:rPr>
        <w:t>sit</w:t>
      </w:r>
      <w:proofErr w:type="gram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Lorem ipsum dolor sit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</w:t>
      </w:r>
      <w:proofErr w:type="spellStart"/>
      <w:r w:rsidRPr="003E76E3">
        <w:rPr>
          <w:rFonts w:asciiTheme="majorBidi" w:hAnsiTheme="majorBidi" w:cstheme="majorBidi"/>
          <w:szCs w:val="22"/>
        </w:rPr>
        <w:t>consetetur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sadipscing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elitr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nonumy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eirmod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tempor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invidunt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ut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labore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dolore magna </w:t>
      </w:r>
      <w:proofErr w:type="spellStart"/>
      <w:r w:rsidRPr="003E76E3">
        <w:rPr>
          <w:rFonts w:asciiTheme="majorBidi" w:hAnsiTheme="majorBidi" w:cstheme="majorBidi"/>
          <w:szCs w:val="22"/>
        </w:rPr>
        <w:t>aliquyam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erat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voluptua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At </w:t>
      </w:r>
      <w:proofErr w:type="spellStart"/>
      <w:r w:rsidRPr="003E76E3">
        <w:rPr>
          <w:rFonts w:asciiTheme="majorBidi" w:hAnsiTheme="majorBidi" w:cstheme="majorBidi"/>
          <w:szCs w:val="22"/>
        </w:rPr>
        <w:t>vero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eos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accusam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justo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duo </w:t>
      </w:r>
      <w:proofErr w:type="spellStart"/>
      <w:r w:rsidRPr="003E76E3">
        <w:rPr>
          <w:rFonts w:asciiTheme="majorBidi" w:hAnsiTheme="majorBidi" w:cstheme="majorBidi"/>
          <w:szCs w:val="22"/>
        </w:rPr>
        <w:t>dolores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ea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rebum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Stet </w:t>
      </w:r>
      <w:proofErr w:type="spellStart"/>
      <w:r w:rsidRPr="003E76E3">
        <w:rPr>
          <w:rFonts w:asciiTheme="majorBidi" w:hAnsiTheme="majorBidi" w:cstheme="majorBidi"/>
          <w:szCs w:val="22"/>
        </w:rPr>
        <w:t>clita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kasd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gubergren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no sea </w:t>
      </w:r>
      <w:proofErr w:type="spellStart"/>
      <w:r w:rsidRPr="003E76E3">
        <w:rPr>
          <w:rFonts w:asciiTheme="majorBidi" w:hAnsiTheme="majorBidi" w:cstheme="majorBidi"/>
          <w:szCs w:val="22"/>
        </w:rPr>
        <w:t>takimata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sanctus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est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Lorem ipsum dolor </w:t>
      </w:r>
      <w:proofErr w:type="gramStart"/>
      <w:r w:rsidRPr="003E76E3">
        <w:rPr>
          <w:rFonts w:asciiTheme="majorBidi" w:hAnsiTheme="majorBidi" w:cstheme="majorBidi"/>
          <w:szCs w:val="22"/>
        </w:rPr>
        <w:t>sit</w:t>
      </w:r>
      <w:proofErr w:type="gram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Lorem ipsum dolor sit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</w:t>
      </w:r>
      <w:proofErr w:type="spellStart"/>
      <w:r w:rsidRPr="003E76E3">
        <w:rPr>
          <w:rFonts w:asciiTheme="majorBidi" w:hAnsiTheme="majorBidi" w:cstheme="majorBidi"/>
          <w:szCs w:val="22"/>
        </w:rPr>
        <w:t>consetetur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sadipscing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elitr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nonumy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eirmod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tempor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invidunt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ut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labore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dolore magna </w:t>
      </w:r>
      <w:proofErr w:type="spellStart"/>
      <w:r w:rsidRPr="003E76E3">
        <w:rPr>
          <w:rFonts w:asciiTheme="majorBidi" w:hAnsiTheme="majorBidi" w:cstheme="majorBidi"/>
          <w:szCs w:val="22"/>
        </w:rPr>
        <w:t>aliquyam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erat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voluptua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At </w:t>
      </w:r>
      <w:proofErr w:type="spellStart"/>
      <w:r w:rsidRPr="003E76E3">
        <w:rPr>
          <w:rFonts w:asciiTheme="majorBidi" w:hAnsiTheme="majorBidi" w:cstheme="majorBidi"/>
          <w:szCs w:val="22"/>
        </w:rPr>
        <w:t>vero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eos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accusam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justo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duo </w:t>
      </w:r>
      <w:proofErr w:type="spellStart"/>
      <w:r w:rsidRPr="003E76E3">
        <w:rPr>
          <w:rFonts w:asciiTheme="majorBidi" w:hAnsiTheme="majorBidi" w:cstheme="majorBidi"/>
          <w:szCs w:val="22"/>
        </w:rPr>
        <w:t>dolores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ea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rebum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Stet </w:t>
      </w:r>
      <w:proofErr w:type="spellStart"/>
      <w:r w:rsidRPr="003E76E3">
        <w:rPr>
          <w:rFonts w:asciiTheme="majorBidi" w:hAnsiTheme="majorBidi" w:cstheme="majorBidi"/>
          <w:szCs w:val="22"/>
        </w:rPr>
        <w:t>clita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kasd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gubergren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no sea </w:t>
      </w:r>
      <w:proofErr w:type="spellStart"/>
      <w:r w:rsidRPr="003E76E3">
        <w:rPr>
          <w:rFonts w:asciiTheme="majorBidi" w:hAnsiTheme="majorBidi" w:cstheme="majorBidi"/>
          <w:szCs w:val="22"/>
        </w:rPr>
        <w:t>takimata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sanctus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est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Lorem ipsum dolor </w:t>
      </w:r>
      <w:proofErr w:type="gramStart"/>
      <w:r w:rsidRPr="003E76E3">
        <w:rPr>
          <w:rFonts w:asciiTheme="majorBidi" w:hAnsiTheme="majorBidi" w:cstheme="majorBidi"/>
          <w:szCs w:val="22"/>
        </w:rPr>
        <w:t>sit</w:t>
      </w:r>
      <w:proofErr w:type="gram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 </w:t>
      </w:r>
    </w:p>
    <w:p w14:paraId="462DCD2A" w14:textId="1C03FA6E" w:rsidR="0017154C" w:rsidRPr="00ED4391" w:rsidRDefault="0017154C" w:rsidP="003E76E3">
      <w:pPr>
        <w:tabs>
          <w:tab w:val="clear" w:pos="3068"/>
        </w:tabs>
        <w:ind w:firstLine="0"/>
        <w:rPr>
          <w:rFonts w:asciiTheme="majorBidi" w:hAnsiTheme="majorBidi" w:cstheme="majorBidi"/>
          <w:szCs w:val="22"/>
        </w:rPr>
      </w:pPr>
      <w:r w:rsidRPr="00ED4391">
        <w:rPr>
          <w:rFonts w:asciiTheme="majorBidi" w:hAnsiTheme="majorBidi" w:cstheme="majorBidi"/>
          <w:szCs w:val="22"/>
        </w:rPr>
        <w:tab/>
      </w:r>
      <w:r w:rsidRPr="00ED4391">
        <w:rPr>
          <w:rFonts w:asciiTheme="majorBidi" w:hAnsiTheme="majorBidi" w:cstheme="majorBidi"/>
          <w:i/>
          <w:szCs w:val="22"/>
        </w:rPr>
        <w:t>Keywords:</w:t>
      </w:r>
      <w:r w:rsidRPr="00ED4391">
        <w:rPr>
          <w:rFonts w:asciiTheme="majorBidi" w:hAnsiTheme="majorBidi" w:cstheme="majorBidi"/>
          <w:szCs w:val="22"/>
        </w:rPr>
        <w:t xml:space="preserve"> </w:t>
      </w:r>
      <w:r w:rsidR="003E76E3">
        <w:rPr>
          <w:rFonts w:asciiTheme="majorBidi" w:hAnsiTheme="majorBidi" w:cstheme="majorBidi"/>
          <w:szCs w:val="22"/>
        </w:rPr>
        <w:t>template</w:t>
      </w:r>
    </w:p>
    <w:p w14:paraId="2FED3746" w14:textId="77777777" w:rsidR="00E102C3" w:rsidRPr="00ED4391" w:rsidRDefault="00E102C3" w:rsidP="004E6B89">
      <w:pPr>
        <w:tabs>
          <w:tab w:val="clear" w:pos="3068"/>
        </w:tabs>
        <w:rPr>
          <w:rFonts w:asciiTheme="majorBidi" w:hAnsiTheme="majorBidi" w:cstheme="majorBidi"/>
          <w:szCs w:val="22"/>
        </w:rPr>
      </w:pPr>
      <w:r w:rsidRPr="00ED4391">
        <w:rPr>
          <w:rFonts w:asciiTheme="majorBidi" w:hAnsiTheme="majorBidi" w:cstheme="majorBidi"/>
          <w:szCs w:val="22"/>
        </w:rPr>
        <w:br w:type="page"/>
      </w:r>
    </w:p>
    <w:p w14:paraId="3A6E430F" w14:textId="4C84EBFA" w:rsidR="00E102C3" w:rsidRPr="00ED4391" w:rsidRDefault="003E76E3" w:rsidP="00CC186E">
      <w:pPr>
        <w:pStyle w:val="berschrift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Heading 1</w:t>
      </w:r>
    </w:p>
    <w:p w14:paraId="15D8CF09" w14:textId="195ED191" w:rsidR="003E76E3" w:rsidRPr="003E76E3" w:rsidRDefault="003E76E3" w:rsidP="003E76E3">
      <w:pPr>
        <w:pStyle w:val="berschrift2"/>
        <w:rPr>
          <w:rFonts w:asciiTheme="majorBidi" w:hAnsiTheme="majorBidi" w:cstheme="majorBidi"/>
          <w:b w:val="0"/>
        </w:rPr>
      </w:pPr>
      <w:r w:rsidRPr="003E76E3">
        <w:rPr>
          <w:rFonts w:asciiTheme="majorBidi" w:hAnsiTheme="majorBidi" w:cstheme="majorBidi"/>
          <w:b w:val="0"/>
        </w:rPr>
        <w:t xml:space="preserve">Lorem ipsum dolor sit </w:t>
      </w:r>
      <w:proofErr w:type="spellStart"/>
      <w:r w:rsidRPr="003E76E3">
        <w:rPr>
          <w:rFonts w:asciiTheme="majorBidi" w:hAnsiTheme="majorBidi" w:cstheme="majorBidi"/>
          <w:b w:val="0"/>
        </w:rPr>
        <w:t>amet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</w:t>
      </w:r>
      <w:proofErr w:type="spellStart"/>
      <w:r w:rsidRPr="003E76E3">
        <w:rPr>
          <w:rFonts w:asciiTheme="majorBidi" w:hAnsiTheme="majorBidi" w:cstheme="majorBidi"/>
          <w:b w:val="0"/>
        </w:rPr>
        <w:t>consetetur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sadipscing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elitr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b w:val="0"/>
        </w:rPr>
        <w:t>nonumy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eirmod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tempor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invidunt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ut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labore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dolore magna </w:t>
      </w:r>
      <w:proofErr w:type="spellStart"/>
      <w:r w:rsidRPr="003E76E3">
        <w:rPr>
          <w:rFonts w:asciiTheme="majorBidi" w:hAnsiTheme="majorBidi" w:cstheme="majorBidi"/>
          <w:b w:val="0"/>
        </w:rPr>
        <w:t>aliquyam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erat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b w:val="0"/>
        </w:rPr>
        <w:t>voluptua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. At </w:t>
      </w:r>
      <w:proofErr w:type="spellStart"/>
      <w:r w:rsidRPr="003E76E3">
        <w:rPr>
          <w:rFonts w:asciiTheme="majorBidi" w:hAnsiTheme="majorBidi" w:cstheme="majorBidi"/>
          <w:b w:val="0"/>
        </w:rPr>
        <w:t>vero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eos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</w:t>
      </w:r>
      <w:proofErr w:type="spellStart"/>
      <w:r w:rsidRPr="003E76E3">
        <w:rPr>
          <w:rFonts w:asciiTheme="majorBidi" w:hAnsiTheme="majorBidi" w:cstheme="majorBidi"/>
          <w:b w:val="0"/>
        </w:rPr>
        <w:t>accusam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</w:t>
      </w:r>
      <w:proofErr w:type="spellStart"/>
      <w:r w:rsidRPr="003E76E3">
        <w:rPr>
          <w:rFonts w:asciiTheme="majorBidi" w:hAnsiTheme="majorBidi" w:cstheme="majorBidi"/>
          <w:b w:val="0"/>
        </w:rPr>
        <w:t>justo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duo </w:t>
      </w:r>
      <w:proofErr w:type="spellStart"/>
      <w:r w:rsidRPr="003E76E3">
        <w:rPr>
          <w:rFonts w:asciiTheme="majorBidi" w:hAnsiTheme="majorBidi" w:cstheme="majorBidi"/>
          <w:b w:val="0"/>
        </w:rPr>
        <w:t>dolores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</w:t>
      </w:r>
      <w:proofErr w:type="spellStart"/>
      <w:r w:rsidRPr="003E76E3">
        <w:rPr>
          <w:rFonts w:asciiTheme="majorBidi" w:hAnsiTheme="majorBidi" w:cstheme="majorBidi"/>
          <w:b w:val="0"/>
        </w:rPr>
        <w:t>ea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rebum</w:t>
      </w:r>
      <w:proofErr w:type="spellEnd"/>
      <w:r w:rsidRPr="003E76E3">
        <w:rPr>
          <w:rFonts w:asciiTheme="majorBidi" w:hAnsiTheme="majorBidi" w:cstheme="majorBidi"/>
          <w:b w:val="0"/>
        </w:rPr>
        <w:t xml:space="preserve">. Stet </w:t>
      </w:r>
      <w:proofErr w:type="spellStart"/>
      <w:r w:rsidRPr="003E76E3">
        <w:rPr>
          <w:rFonts w:asciiTheme="majorBidi" w:hAnsiTheme="majorBidi" w:cstheme="majorBidi"/>
          <w:b w:val="0"/>
        </w:rPr>
        <w:t>clita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kasd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gubergren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no sea </w:t>
      </w:r>
      <w:proofErr w:type="spellStart"/>
      <w:r w:rsidRPr="003E76E3">
        <w:rPr>
          <w:rFonts w:asciiTheme="majorBidi" w:hAnsiTheme="majorBidi" w:cstheme="majorBidi"/>
          <w:b w:val="0"/>
        </w:rPr>
        <w:t>takimata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sanctus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est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Lorem ipsum dolor </w:t>
      </w:r>
      <w:proofErr w:type="gramStart"/>
      <w:r w:rsidRPr="003E76E3">
        <w:rPr>
          <w:rFonts w:asciiTheme="majorBidi" w:hAnsiTheme="majorBidi" w:cstheme="majorBidi"/>
          <w:b w:val="0"/>
        </w:rPr>
        <w:t>sit</w:t>
      </w:r>
      <w:proofErr w:type="gram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amet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. Lorem ipsum dolor sit </w:t>
      </w:r>
      <w:proofErr w:type="spellStart"/>
      <w:r w:rsidRPr="003E76E3">
        <w:rPr>
          <w:rFonts w:asciiTheme="majorBidi" w:hAnsiTheme="majorBidi" w:cstheme="majorBidi"/>
          <w:b w:val="0"/>
        </w:rPr>
        <w:t>amet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</w:t>
      </w:r>
      <w:proofErr w:type="spellStart"/>
      <w:r w:rsidRPr="003E76E3">
        <w:rPr>
          <w:rFonts w:asciiTheme="majorBidi" w:hAnsiTheme="majorBidi" w:cstheme="majorBidi"/>
          <w:b w:val="0"/>
        </w:rPr>
        <w:t>consetetur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sadipscing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elitr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b w:val="0"/>
        </w:rPr>
        <w:t>nonumy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eirmod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tempor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invidunt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ut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labore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dolore magna </w:t>
      </w:r>
      <w:proofErr w:type="spellStart"/>
      <w:r w:rsidRPr="003E76E3">
        <w:rPr>
          <w:rFonts w:asciiTheme="majorBidi" w:hAnsiTheme="majorBidi" w:cstheme="majorBidi"/>
          <w:b w:val="0"/>
        </w:rPr>
        <w:t>aliquyam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erat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b w:val="0"/>
        </w:rPr>
        <w:t>voluptua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. At </w:t>
      </w:r>
      <w:proofErr w:type="spellStart"/>
      <w:r w:rsidRPr="003E76E3">
        <w:rPr>
          <w:rFonts w:asciiTheme="majorBidi" w:hAnsiTheme="majorBidi" w:cstheme="majorBidi"/>
          <w:b w:val="0"/>
        </w:rPr>
        <w:t>vero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eos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</w:t>
      </w:r>
      <w:proofErr w:type="spellStart"/>
      <w:r w:rsidRPr="003E76E3">
        <w:rPr>
          <w:rFonts w:asciiTheme="majorBidi" w:hAnsiTheme="majorBidi" w:cstheme="majorBidi"/>
          <w:b w:val="0"/>
        </w:rPr>
        <w:t>accusam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</w:t>
      </w:r>
      <w:proofErr w:type="spellStart"/>
      <w:r w:rsidRPr="003E76E3">
        <w:rPr>
          <w:rFonts w:asciiTheme="majorBidi" w:hAnsiTheme="majorBidi" w:cstheme="majorBidi"/>
          <w:b w:val="0"/>
        </w:rPr>
        <w:t>justo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duo </w:t>
      </w:r>
      <w:proofErr w:type="spellStart"/>
      <w:r w:rsidRPr="003E76E3">
        <w:rPr>
          <w:rFonts w:asciiTheme="majorBidi" w:hAnsiTheme="majorBidi" w:cstheme="majorBidi"/>
          <w:b w:val="0"/>
        </w:rPr>
        <w:t>dolores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</w:t>
      </w:r>
      <w:proofErr w:type="spellStart"/>
      <w:r w:rsidRPr="003E76E3">
        <w:rPr>
          <w:rFonts w:asciiTheme="majorBidi" w:hAnsiTheme="majorBidi" w:cstheme="majorBidi"/>
          <w:b w:val="0"/>
        </w:rPr>
        <w:t>ea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rebum</w:t>
      </w:r>
      <w:proofErr w:type="spellEnd"/>
      <w:r w:rsidRPr="003E76E3">
        <w:rPr>
          <w:rFonts w:asciiTheme="majorBidi" w:hAnsiTheme="majorBidi" w:cstheme="majorBidi"/>
          <w:b w:val="0"/>
        </w:rPr>
        <w:t xml:space="preserve">. Stet </w:t>
      </w:r>
      <w:proofErr w:type="spellStart"/>
      <w:r w:rsidRPr="003E76E3">
        <w:rPr>
          <w:rFonts w:asciiTheme="majorBidi" w:hAnsiTheme="majorBidi" w:cstheme="majorBidi"/>
          <w:b w:val="0"/>
        </w:rPr>
        <w:t>clita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kasd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gubergren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no sea </w:t>
      </w:r>
      <w:proofErr w:type="spellStart"/>
      <w:r w:rsidRPr="003E76E3">
        <w:rPr>
          <w:rFonts w:asciiTheme="majorBidi" w:hAnsiTheme="majorBidi" w:cstheme="majorBidi"/>
          <w:b w:val="0"/>
        </w:rPr>
        <w:t>takimata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sanctus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est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Lorem ipsum dolor </w:t>
      </w:r>
      <w:proofErr w:type="gramStart"/>
      <w:r w:rsidRPr="003E76E3">
        <w:rPr>
          <w:rFonts w:asciiTheme="majorBidi" w:hAnsiTheme="majorBidi" w:cstheme="majorBidi"/>
          <w:b w:val="0"/>
        </w:rPr>
        <w:t>sit</w:t>
      </w:r>
      <w:proofErr w:type="gram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amet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. Lorem ipsum dolor sit </w:t>
      </w:r>
      <w:proofErr w:type="spellStart"/>
      <w:r w:rsidRPr="003E76E3">
        <w:rPr>
          <w:rFonts w:asciiTheme="majorBidi" w:hAnsiTheme="majorBidi" w:cstheme="majorBidi"/>
          <w:b w:val="0"/>
        </w:rPr>
        <w:t>amet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</w:t>
      </w:r>
      <w:proofErr w:type="spellStart"/>
      <w:r w:rsidRPr="003E76E3">
        <w:rPr>
          <w:rFonts w:asciiTheme="majorBidi" w:hAnsiTheme="majorBidi" w:cstheme="majorBidi"/>
          <w:b w:val="0"/>
        </w:rPr>
        <w:t>consetetur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sadipscing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elitr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b w:val="0"/>
        </w:rPr>
        <w:t>nonumy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eirmod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tempor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invidunt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ut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labore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dolore magna </w:t>
      </w:r>
      <w:proofErr w:type="spellStart"/>
      <w:r w:rsidRPr="003E76E3">
        <w:rPr>
          <w:rFonts w:asciiTheme="majorBidi" w:hAnsiTheme="majorBidi" w:cstheme="majorBidi"/>
          <w:b w:val="0"/>
        </w:rPr>
        <w:t>aliquyam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erat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b w:val="0"/>
        </w:rPr>
        <w:t>voluptua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. At </w:t>
      </w:r>
      <w:proofErr w:type="spellStart"/>
      <w:r w:rsidRPr="003E76E3">
        <w:rPr>
          <w:rFonts w:asciiTheme="majorBidi" w:hAnsiTheme="majorBidi" w:cstheme="majorBidi"/>
          <w:b w:val="0"/>
        </w:rPr>
        <w:t>vero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eos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</w:t>
      </w:r>
      <w:proofErr w:type="spellStart"/>
      <w:r w:rsidRPr="003E76E3">
        <w:rPr>
          <w:rFonts w:asciiTheme="majorBidi" w:hAnsiTheme="majorBidi" w:cstheme="majorBidi"/>
          <w:b w:val="0"/>
        </w:rPr>
        <w:t>accusam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</w:t>
      </w:r>
      <w:proofErr w:type="spellStart"/>
      <w:r w:rsidRPr="003E76E3">
        <w:rPr>
          <w:rFonts w:asciiTheme="majorBidi" w:hAnsiTheme="majorBidi" w:cstheme="majorBidi"/>
          <w:b w:val="0"/>
        </w:rPr>
        <w:t>justo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duo </w:t>
      </w:r>
      <w:proofErr w:type="spellStart"/>
      <w:r w:rsidRPr="003E76E3">
        <w:rPr>
          <w:rFonts w:asciiTheme="majorBidi" w:hAnsiTheme="majorBidi" w:cstheme="majorBidi"/>
          <w:b w:val="0"/>
        </w:rPr>
        <w:t>dolores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et </w:t>
      </w:r>
      <w:proofErr w:type="spellStart"/>
      <w:r w:rsidRPr="003E76E3">
        <w:rPr>
          <w:rFonts w:asciiTheme="majorBidi" w:hAnsiTheme="majorBidi" w:cstheme="majorBidi"/>
          <w:b w:val="0"/>
        </w:rPr>
        <w:t>ea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rebum</w:t>
      </w:r>
      <w:proofErr w:type="spellEnd"/>
      <w:r w:rsidRPr="003E76E3">
        <w:rPr>
          <w:rFonts w:asciiTheme="majorBidi" w:hAnsiTheme="majorBidi" w:cstheme="majorBidi"/>
          <w:b w:val="0"/>
        </w:rPr>
        <w:t xml:space="preserve">. Stet </w:t>
      </w:r>
      <w:proofErr w:type="spellStart"/>
      <w:r w:rsidRPr="003E76E3">
        <w:rPr>
          <w:rFonts w:asciiTheme="majorBidi" w:hAnsiTheme="majorBidi" w:cstheme="majorBidi"/>
          <w:b w:val="0"/>
        </w:rPr>
        <w:t>clita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kasd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gubergren</w:t>
      </w:r>
      <w:proofErr w:type="spellEnd"/>
      <w:r w:rsidRPr="003E76E3">
        <w:rPr>
          <w:rFonts w:asciiTheme="majorBidi" w:hAnsiTheme="majorBidi" w:cstheme="majorBidi"/>
          <w:b w:val="0"/>
        </w:rPr>
        <w:t xml:space="preserve">, no sea </w:t>
      </w:r>
      <w:proofErr w:type="spellStart"/>
      <w:r w:rsidRPr="003E76E3">
        <w:rPr>
          <w:rFonts w:asciiTheme="majorBidi" w:hAnsiTheme="majorBidi" w:cstheme="majorBidi"/>
          <w:b w:val="0"/>
        </w:rPr>
        <w:t>takimata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sanctus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est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 Lorem ipsum dolor </w:t>
      </w:r>
      <w:proofErr w:type="gramStart"/>
      <w:r w:rsidRPr="003E76E3">
        <w:rPr>
          <w:rFonts w:asciiTheme="majorBidi" w:hAnsiTheme="majorBidi" w:cstheme="majorBidi"/>
          <w:b w:val="0"/>
        </w:rPr>
        <w:t>sit</w:t>
      </w:r>
      <w:proofErr w:type="gramEnd"/>
      <w:r w:rsidRPr="003E76E3">
        <w:rPr>
          <w:rFonts w:asciiTheme="majorBidi" w:hAnsiTheme="majorBidi" w:cstheme="majorBidi"/>
          <w:b w:val="0"/>
        </w:rPr>
        <w:t xml:space="preserve"> </w:t>
      </w:r>
      <w:proofErr w:type="spellStart"/>
      <w:r w:rsidRPr="003E76E3">
        <w:rPr>
          <w:rFonts w:asciiTheme="majorBidi" w:hAnsiTheme="majorBidi" w:cstheme="majorBidi"/>
          <w:b w:val="0"/>
        </w:rPr>
        <w:t>amet</w:t>
      </w:r>
      <w:proofErr w:type="spellEnd"/>
      <w:r w:rsidRPr="003E76E3">
        <w:rPr>
          <w:rFonts w:asciiTheme="majorBidi" w:hAnsiTheme="majorBidi" w:cstheme="majorBidi"/>
          <w:b w:val="0"/>
        </w:rPr>
        <w:t xml:space="preserve">. </w:t>
      </w:r>
      <w:r w:rsidRPr="00ED4391">
        <w:rPr>
          <w:rStyle w:val="Funotenzeichen"/>
          <w:rFonts w:asciiTheme="majorBidi" w:hAnsiTheme="majorBidi" w:cstheme="majorBidi"/>
        </w:rPr>
        <w:footnoteReference w:id="1"/>
      </w:r>
      <w:r w:rsidRPr="003E76E3">
        <w:rPr>
          <w:rFonts w:asciiTheme="majorBidi" w:hAnsiTheme="majorBidi" w:cstheme="majorBidi"/>
          <w:b w:val="0"/>
        </w:rPr>
        <w:t xml:space="preserve"> </w:t>
      </w:r>
    </w:p>
    <w:p w14:paraId="398B57CC" w14:textId="77777777" w:rsidR="003E76E3" w:rsidRPr="003E76E3" w:rsidRDefault="003E76E3" w:rsidP="003E76E3">
      <w:pPr>
        <w:pStyle w:val="berschrift2"/>
        <w:rPr>
          <w:rFonts w:asciiTheme="majorBidi" w:hAnsiTheme="majorBidi" w:cstheme="majorBidi"/>
          <w:b w:val="0"/>
        </w:rPr>
      </w:pPr>
    </w:p>
    <w:p w14:paraId="77F0DE14" w14:textId="3EFE4C3D" w:rsidR="00E102C3" w:rsidRPr="00ED4391" w:rsidRDefault="003E76E3" w:rsidP="00CC186E">
      <w:pPr>
        <w:pStyle w:val="berschrift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Heading 2</w:t>
      </w:r>
    </w:p>
    <w:p w14:paraId="72A04D63" w14:textId="77777777" w:rsidR="003E76E3" w:rsidRDefault="003E76E3" w:rsidP="004E6B89">
      <w:pPr>
        <w:tabs>
          <w:tab w:val="clear" w:pos="3068"/>
        </w:tabs>
        <w:rPr>
          <w:rFonts w:asciiTheme="majorBidi" w:hAnsiTheme="majorBidi" w:cstheme="majorBidi"/>
          <w:szCs w:val="22"/>
        </w:rPr>
      </w:pPr>
      <w:r w:rsidRPr="003E76E3">
        <w:rPr>
          <w:rFonts w:asciiTheme="majorBidi" w:hAnsiTheme="majorBidi" w:cstheme="majorBidi"/>
          <w:szCs w:val="22"/>
        </w:rPr>
        <w:t xml:space="preserve">Lorem ipsum dolor sit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</w:t>
      </w:r>
      <w:proofErr w:type="spellStart"/>
      <w:r w:rsidRPr="003E76E3">
        <w:rPr>
          <w:rFonts w:asciiTheme="majorBidi" w:hAnsiTheme="majorBidi" w:cstheme="majorBidi"/>
          <w:szCs w:val="22"/>
        </w:rPr>
        <w:t>consetetur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sadipscing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elitr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nonumy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eirmod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tempor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invidunt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ut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labore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dolore magna </w:t>
      </w:r>
      <w:proofErr w:type="spellStart"/>
      <w:r w:rsidRPr="003E76E3">
        <w:rPr>
          <w:rFonts w:asciiTheme="majorBidi" w:hAnsiTheme="majorBidi" w:cstheme="majorBidi"/>
          <w:szCs w:val="22"/>
        </w:rPr>
        <w:t>aliquyam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erat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voluptua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At </w:t>
      </w:r>
      <w:proofErr w:type="spellStart"/>
      <w:r w:rsidRPr="003E76E3">
        <w:rPr>
          <w:rFonts w:asciiTheme="majorBidi" w:hAnsiTheme="majorBidi" w:cstheme="majorBidi"/>
          <w:szCs w:val="22"/>
        </w:rPr>
        <w:t>vero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eos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accusam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justo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duo </w:t>
      </w:r>
      <w:proofErr w:type="spellStart"/>
      <w:r w:rsidRPr="003E76E3">
        <w:rPr>
          <w:rFonts w:asciiTheme="majorBidi" w:hAnsiTheme="majorBidi" w:cstheme="majorBidi"/>
          <w:szCs w:val="22"/>
        </w:rPr>
        <w:t>dolores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ea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rebum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Stet </w:t>
      </w:r>
      <w:proofErr w:type="spellStart"/>
      <w:r w:rsidRPr="003E76E3">
        <w:rPr>
          <w:rFonts w:asciiTheme="majorBidi" w:hAnsiTheme="majorBidi" w:cstheme="majorBidi"/>
          <w:szCs w:val="22"/>
        </w:rPr>
        <w:t>clita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kasd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gubergren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no sea </w:t>
      </w:r>
      <w:proofErr w:type="spellStart"/>
      <w:r w:rsidRPr="003E76E3">
        <w:rPr>
          <w:rFonts w:asciiTheme="majorBidi" w:hAnsiTheme="majorBidi" w:cstheme="majorBidi"/>
          <w:szCs w:val="22"/>
        </w:rPr>
        <w:t>takimata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sanctus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est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Lorem ipsum dolor </w:t>
      </w:r>
      <w:proofErr w:type="gramStart"/>
      <w:r w:rsidRPr="003E76E3">
        <w:rPr>
          <w:rFonts w:asciiTheme="majorBidi" w:hAnsiTheme="majorBidi" w:cstheme="majorBidi"/>
          <w:szCs w:val="22"/>
        </w:rPr>
        <w:t>sit</w:t>
      </w:r>
      <w:proofErr w:type="gram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Lorem ipsum dolor sit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</w:t>
      </w:r>
      <w:proofErr w:type="spellStart"/>
      <w:r w:rsidRPr="003E76E3">
        <w:rPr>
          <w:rFonts w:asciiTheme="majorBidi" w:hAnsiTheme="majorBidi" w:cstheme="majorBidi"/>
          <w:szCs w:val="22"/>
        </w:rPr>
        <w:t>consetetur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sadipscing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elitr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nonumy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eirmod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tempor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invidunt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ut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labore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dolore magna </w:t>
      </w:r>
      <w:proofErr w:type="spellStart"/>
      <w:r w:rsidRPr="003E76E3">
        <w:rPr>
          <w:rFonts w:asciiTheme="majorBidi" w:hAnsiTheme="majorBidi" w:cstheme="majorBidi"/>
          <w:szCs w:val="22"/>
        </w:rPr>
        <w:t>aliquyam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erat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voluptua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At </w:t>
      </w:r>
      <w:proofErr w:type="spellStart"/>
      <w:r w:rsidRPr="003E76E3">
        <w:rPr>
          <w:rFonts w:asciiTheme="majorBidi" w:hAnsiTheme="majorBidi" w:cstheme="majorBidi"/>
          <w:szCs w:val="22"/>
        </w:rPr>
        <w:t>vero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eos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accusam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justo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duo </w:t>
      </w:r>
      <w:proofErr w:type="spellStart"/>
      <w:r w:rsidRPr="003E76E3">
        <w:rPr>
          <w:rFonts w:asciiTheme="majorBidi" w:hAnsiTheme="majorBidi" w:cstheme="majorBidi"/>
          <w:szCs w:val="22"/>
        </w:rPr>
        <w:t>dolores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ea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rebum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Stet </w:t>
      </w:r>
      <w:proofErr w:type="spellStart"/>
      <w:r w:rsidRPr="003E76E3">
        <w:rPr>
          <w:rFonts w:asciiTheme="majorBidi" w:hAnsiTheme="majorBidi" w:cstheme="majorBidi"/>
          <w:szCs w:val="22"/>
        </w:rPr>
        <w:t>clita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kasd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gubergren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no sea </w:t>
      </w:r>
      <w:proofErr w:type="spellStart"/>
      <w:r w:rsidRPr="003E76E3">
        <w:rPr>
          <w:rFonts w:asciiTheme="majorBidi" w:hAnsiTheme="majorBidi" w:cstheme="majorBidi"/>
          <w:szCs w:val="22"/>
        </w:rPr>
        <w:t>takimata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sanctus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est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Lorem ipsum dolor </w:t>
      </w:r>
      <w:proofErr w:type="gramStart"/>
      <w:r w:rsidRPr="003E76E3">
        <w:rPr>
          <w:rFonts w:asciiTheme="majorBidi" w:hAnsiTheme="majorBidi" w:cstheme="majorBidi"/>
          <w:szCs w:val="22"/>
        </w:rPr>
        <w:t>sit</w:t>
      </w:r>
      <w:proofErr w:type="gram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Lorem ipsum dolor sit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</w:t>
      </w:r>
      <w:proofErr w:type="spellStart"/>
      <w:r w:rsidRPr="003E76E3">
        <w:rPr>
          <w:rFonts w:asciiTheme="majorBidi" w:hAnsiTheme="majorBidi" w:cstheme="majorBidi"/>
          <w:szCs w:val="22"/>
        </w:rPr>
        <w:t>consetetur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sadipscing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elitr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nonumy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eirmod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tempor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invidunt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ut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labore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dolore magna </w:t>
      </w:r>
      <w:proofErr w:type="spellStart"/>
      <w:r w:rsidRPr="003E76E3">
        <w:rPr>
          <w:rFonts w:asciiTheme="majorBidi" w:hAnsiTheme="majorBidi" w:cstheme="majorBidi"/>
          <w:szCs w:val="22"/>
        </w:rPr>
        <w:t>aliquyam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erat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sed diam </w:t>
      </w:r>
      <w:proofErr w:type="spellStart"/>
      <w:r w:rsidRPr="003E76E3">
        <w:rPr>
          <w:rFonts w:asciiTheme="majorBidi" w:hAnsiTheme="majorBidi" w:cstheme="majorBidi"/>
          <w:szCs w:val="22"/>
        </w:rPr>
        <w:t>voluptua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At </w:t>
      </w:r>
      <w:proofErr w:type="spellStart"/>
      <w:r w:rsidRPr="003E76E3">
        <w:rPr>
          <w:rFonts w:asciiTheme="majorBidi" w:hAnsiTheme="majorBidi" w:cstheme="majorBidi"/>
          <w:szCs w:val="22"/>
        </w:rPr>
        <w:t>vero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eos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accusam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justo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duo </w:t>
      </w:r>
      <w:proofErr w:type="spellStart"/>
      <w:r w:rsidRPr="003E76E3">
        <w:rPr>
          <w:rFonts w:asciiTheme="majorBidi" w:hAnsiTheme="majorBidi" w:cstheme="majorBidi"/>
          <w:szCs w:val="22"/>
        </w:rPr>
        <w:t>dolores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et </w:t>
      </w:r>
      <w:proofErr w:type="spellStart"/>
      <w:r w:rsidRPr="003E76E3">
        <w:rPr>
          <w:rFonts w:asciiTheme="majorBidi" w:hAnsiTheme="majorBidi" w:cstheme="majorBidi"/>
          <w:szCs w:val="22"/>
        </w:rPr>
        <w:t>ea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rebum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Stet </w:t>
      </w:r>
      <w:proofErr w:type="spellStart"/>
      <w:r w:rsidRPr="003E76E3">
        <w:rPr>
          <w:rFonts w:asciiTheme="majorBidi" w:hAnsiTheme="majorBidi" w:cstheme="majorBidi"/>
          <w:szCs w:val="22"/>
        </w:rPr>
        <w:t>clita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kasd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gubergren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, no sea </w:t>
      </w:r>
      <w:proofErr w:type="spellStart"/>
      <w:r w:rsidRPr="003E76E3">
        <w:rPr>
          <w:rFonts w:asciiTheme="majorBidi" w:hAnsiTheme="majorBidi" w:cstheme="majorBidi"/>
          <w:szCs w:val="22"/>
        </w:rPr>
        <w:t>takimata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sanctus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est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 Lorem ipsum dolor </w:t>
      </w:r>
      <w:proofErr w:type="gramStart"/>
      <w:r w:rsidRPr="003E76E3">
        <w:rPr>
          <w:rFonts w:asciiTheme="majorBidi" w:hAnsiTheme="majorBidi" w:cstheme="majorBidi"/>
          <w:szCs w:val="22"/>
        </w:rPr>
        <w:t>sit</w:t>
      </w:r>
      <w:proofErr w:type="gramEnd"/>
      <w:r w:rsidRPr="003E76E3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3E76E3">
        <w:rPr>
          <w:rFonts w:asciiTheme="majorBidi" w:hAnsiTheme="majorBidi" w:cstheme="majorBidi"/>
          <w:szCs w:val="22"/>
        </w:rPr>
        <w:t>amet</w:t>
      </w:r>
      <w:proofErr w:type="spellEnd"/>
      <w:r w:rsidRPr="003E76E3">
        <w:rPr>
          <w:rFonts w:asciiTheme="majorBidi" w:hAnsiTheme="majorBidi" w:cstheme="majorBidi"/>
          <w:szCs w:val="22"/>
        </w:rPr>
        <w:t xml:space="preserve">.   </w:t>
      </w:r>
    </w:p>
    <w:p w14:paraId="4FBA3BDF" w14:textId="726E8D23" w:rsidR="00B40BBE" w:rsidRPr="00ED4391" w:rsidRDefault="00B40BBE" w:rsidP="004E6B89">
      <w:pPr>
        <w:rPr>
          <w:rFonts w:asciiTheme="majorBidi" w:hAnsiTheme="majorBidi" w:cstheme="majorBidi"/>
          <w:szCs w:val="22"/>
        </w:rPr>
      </w:pPr>
    </w:p>
    <w:p w14:paraId="3697B054" w14:textId="77777777" w:rsidR="00B40BBE" w:rsidRPr="00ED4391" w:rsidRDefault="00B40BBE" w:rsidP="004E6B89">
      <w:pPr>
        <w:tabs>
          <w:tab w:val="clear" w:pos="3068"/>
        </w:tabs>
        <w:ind w:firstLine="0"/>
        <w:rPr>
          <w:rFonts w:asciiTheme="majorBidi" w:hAnsiTheme="majorBidi" w:cstheme="majorBidi"/>
          <w:szCs w:val="22"/>
        </w:rPr>
      </w:pPr>
      <w:r w:rsidRPr="00ED4391">
        <w:rPr>
          <w:rFonts w:asciiTheme="majorBidi" w:hAnsiTheme="majorBidi" w:cstheme="majorBidi"/>
          <w:szCs w:val="22"/>
        </w:rPr>
        <w:br w:type="page"/>
      </w:r>
    </w:p>
    <w:p w14:paraId="745469F1" w14:textId="77777777" w:rsidR="00B40BBE" w:rsidRPr="00ED4391" w:rsidRDefault="00B40BBE" w:rsidP="00CC186E">
      <w:pPr>
        <w:pStyle w:val="berschrift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lastRenderedPageBreak/>
        <w:t>References</w:t>
      </w:r>
    </w:p>
    <w:p w14:paraId="6571442D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Avery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 J.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Bryant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W. K.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Mathios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A.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Kang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H.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Bell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(2006). Electronic course evaluations: Does an online delivery system influence student evaluations?</w:t>
      </w:r>
      <w:r w:rsidR="00955FD6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The Journal of Economic Education</w:t>
      </w:r>
      <w:r w:rsidR="00CC7D0E" w:rsidRPr="00ED4391">
        <w:rPr>
          <w:rFonts w:asciiTheme="majorBidi" w:hAnsiTheme="majorBidi" w:cstheme="majorBidi"/>
        </w:rPr>
        <w:t>,</w:t>
      </w:r>
      <w:r w:rsidR="00CC7D0E" w:rsidRPr="00ED4391">
        <w:rPr>
          <w:rFonts w:asciiTheme="majorBidi" w:hAnsiTheme="majorBidi" w:cstheme="majorBidi"/>
          <w:i/>
        </w:rPr>
        <w:t xml:space="preserve"> </w:t>
      </w:r>
      <w:r w:rsidR="00CC7D0E" w:rsidRPr="00ED4391">
        <w:rPr>
          <w:rFonts w:asciiTheme="majorBidi" w:hAnsiTheme="majorBidi" w:cstheme="majorBidi"/>
          <w:i/>
          <w:iCs/>
        </w:rPr>
        <w:t>3</w:t>
      </w:r>
      <w:r w:rsidRPr="00ED4391">
        <w:rPr>
          <w:rFonts w:asciiTheme="majorBidi" w:hAnsiTheme="majorBidi" w:cstheme="majorBidi"/>
          <w:i/>
          <w:iCs/>
        </w:rPr>
        <w:t>7</w:t>
      </w:r>
      <w:r w:rsidR="00C81D35" w:rsidRPr="00ED4391">
        <w:rPr>
          <w:rFonts w:asciiTheme="majorBidi" w:hAnsiTheme="majorBidi" w:cstheme="majorBidi"/>
          <w:iCs/>
        </w:rPr>
        <w:t>(1)</w:t>
      </w:r>
      <w:r w:rsidR="00CC7D0E" w:rsidRPr="00ED4391">
        <w:rPr>
          <w:rFonts w:asciiTheme="majorBidi" w:hAnsiTheme="majorBidi" w:cstheme="majorBidi"/>
        </w:rPr>
        <w:t>, 2</w:t>
      </w:r>
      <w:r w:rsidRPr="00ED4391">
        <w:rPr>
          <w:rFonts w:asciiTheme="majorBidi" w:hAnsiTheme="majorBidi" w:cstheme="majorBidi"/>
        </w:rPr>
        <w:t>1–37.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8" w:history="1">
        <w:r w:rsidR="00B8771A" w:rsidRPr="00ED4391">
          <w:rPr>
            <w:rStyle w:val="Hyperlink"/>
            <w:rFonts w:asciiTheme="majorBidi" w:hAnsiTheme="majorBidi" w:cstheme="majorBidi"/>
          </w:rPr>
          <w:t>https://doi.org/10.3200/JECE.37.1.21-37</w:t>
        </w:r>
      </w:hyperlink>
    </w:p>
    <w:p w14:paraId="4551557A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Berk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 A.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(2012). Top 20 strategies to increase the online response rates of student rating scales.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International Journal of Technology in Teaching and Learning</w:t>
      </w:r>
      <w:r w:rsidR="00CC7D0E" w:rsidRPr="00ED4391">
        <w:rPr>
          <w:rFonts w:asciiTheme="majorBidi" w:hAnsiTheme="majorBidi" w:cstheme="majorBidi"/>
        </w:rPr>
        <w:t xml:space="preserve">, </w:t>
      </w:r>
      <w:r w:rsidR="00CC7D0E" w:rsidRPr="00ED4391">
        <w:rPr>
          <w:rFonts w:asciiTheme="majorBidi" w:hAnsiTheme="majorBidi" w:cstheme="majorBidi"/>
          <w:i/>
          <w:iCs/>
        </w:rPr>
        <w:t>8</w:t>
      </w:r>
      <w:r w:rsidR="00C81D35" w:rsidRPr="00ED4391">
        <w:rPr>
          <w:rFonts w:asciiTheme="majorBidi" w:hAnsiTheme="majorBidi" w:cstheme="majorBidi"/>
          <w:iCs/>
        </w:rPr>
        <w:t>(2)</w:t>
      </w:r>
      <w:r w:rsidR="00CC7D0E" w:rsidRPr="00ED4391">
        <w:rPr>
          <w:rFonts w:asciiTheme="majorBidi" w:hAnsiTheme="majorBidi" w:cstheme="majorBidi"/>
        </w:rPr>
        <w:t>, 9</w:t>
      </w:r>
      <w:r w:rsidRPr="00ED4391">
        <w:rPr>
          <w:rFonts w:asciiTheme="majorBidi" w:hAnsiTheme="majorBidi" w:cstheme="majorBidi"/>
        </w:rPr>
        <w:t>8–107.</w:t>
      </w:r>
    </w:p>
    <w:p w14:paraId="5C490F12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Berk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 A.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(2013).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Top 10 flashpoints in student ratings and the evaluation of teaching</w:t>
      </w:r>
      <w:r w:rsidRPr="00ED4391">
        <w:rPr>
          <w:rFonts w:asciiTheme="majorBidi" w:hAnsiTheme="majorBidi" w:cstheme="majorBidi"/>
        </w:rPr>
        <w:t>. Stylus.</w:t>
      </w:r>
    </w:p>
    <w:p w14:paraId="79D41900" w14:textId="77777777" w:rsidR="00B8771A" w:rsidRPr="00ED4391" w:rsidRDefault="00B8771A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Boysen, G. A.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(2015</w:t>
      </w:r>
      <w:r w:rsidR="00643113" w:rsidRPr="00ED4391">
        <w:rPr>
          <w:rFonts w:asciiTheme="majorBidi" w:hAnsiTheme="majorBidi" w:cstheme="majorBidi"/>
        </w:rPr>
        <w:t>a</w:t>
      </w:r>
      <w:r w:rsidRPr="00ED4391">
        <w:rPr>
          <w:rFonts w:asciiTheme="majorBidi" w:hAnsiTheme="majorBidi" w:cstheme="majorBidi"/>
        </w:rPr>
        <w:t>). Preventing the overinterpretation of small mean differences in student evaluations of teaching: An evaluation of warning effectiveness.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Scholarship of Teaching and Learning in Psychology</w:t>
      </w:r>
      <w:r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1</w:t>
      </w:r>
      <w:r w:rsidRPr="00ED4391">
        <w:rPr>
          <w:rFonts w:asciiTheme="majorBidi" w:hAnsiTheme="majorBidi" w:cstheme="majorBidi"/>
          <w:iCs/>
        </w:rPr>
        <w:t>(4)</w:t>
      </w:r>
      <w:r w:rsidRPr="00ED4391">
        <w:rPr>
          <w:rFonts w:asciiTheme="majorBidi" w:hAnsiTheme="majorBidi" w:cstheme="majorBidi"/>
        </w:rPr>
        <w:t>, 269–282</w:t>
      </w:r>
      <w:r w:rsidR="00EB6B08" w:rsidRPr="00ED4391">
        <w:rPr>
          <w:rFonts w:asciiTheme="majorBidi" w:hAnsiTheme="majorBidi" w:cstheme="majorBidi"/>
        </w:rPr>
        <w:t>.</w:t>
      </w:r>
      <w:r w:rsidR="00EB6B08" w:rsidRPr="00ED4391">
        <w:rPr>
          <w:rStyle w:val="Hyperlink"/>
          <w:rFonts w:asciiTheme="majorBidi" w:hAnsiTheme="majorBidi" w:cstheme="majorBidi"/>
          <w:color w:val="auto"/>
        </w:rPr>
        <w:t xml:space="preserve"> </w:t>
      </w:r>
      <w:hyperlink r:id="rId9" w:history="1">
        <w:r w:rsidR="00EB6B08" w:rsidRPr="00ED4391">
          <w:rPr>
            <w:rStyle w:val="Hyperlink"/>
            <w:rFonts w:asciiTheme="majorBidi" w:hAnsiTheme="majorBidi" w:cstheme="majorBidi"/>
          </w:rPr>
          <w:t>https://doi.org/10.1037/stl0000042</w:t>
        </w:r>
      </w:hyperlink>
    </w:p>
    <w:p w14:paraId="58D011AE" w14:textId="77777777" w:rsidR="00EB6B08" w:rsidRPr="00ED4391" w:rsidRDefault="00B40BBE" w:rsidP="004D3387">
      <w:pPr>
        <w:pStyle w:val="Literaturverzeichnis1"/>
        <w:rPr>
          <w:rFonts w:asciiTheme="majorBidi" w:hAnsiTheme="majorBidi" w:cstheme="majorBidi"/>
          <w:lang w:val="en"/>
        </w:rPr>
      </w:pPr>
      <w:r w:rsidRPr="00ED4391">
        <w:rPr>
          <w:rFonts w:asciiTheme="majorBidi" w:hAnsiTheme="majorBidi" w:cstheme="majorBidi"/>
        </w:rPr>
        <w:t>Boysen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G. A.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(2015</w:t>
      </w:r>
      <w:r w:rsidR="00643113" w:rsidRPr="00ED4391">
        <w:rPr>
          <w:rFonts w:asciiTheme="majorBidi" w:hAnsiTheme="majorBidi" w:cstheme="majorBidi"/>
        </w:rPr>
        <w:t>b</w:t>
      </w:r>
      <w:r w:rsidRPr="00ED4391">
        <w:rPr>
          <w:rFonts w:asciiTheme="majorBidi" w:hAnsiTheme="majorBidi" w:cstheme="majorBidi"/>
        </w:rPr>
        <w:t>). Significant interpretation of small mean differences in student evaluations of teaching despite explicit warning to avoid overinterpretation.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Scholarship of Teaching and Learning in Psychology</w:t>
      </w:r>
      <w:r w:rsidR="00CC7D0E" w:rsidRPr="00ED4391">
        <w:rPr>
          <w:rFonts w:asciiTheme="majorBidi" w:hAnsiTheme="majorBidi" w:cstheme="majorBidi"/>
        </w:rPr>
        <w:t xml:space="preserve">, </w:t>
      </w:r>
      <w:r w:rsidR="00CC7D0E" w:rsidRPr="00ED4391">
        <w:rPr>
          <w:rFonts w:asciiTheme="majorBidi" w:hAnsiTheme="majorBidi" w:cstheme="majorBidi"/>
          <w:i/>
          <w:iCs/>
        </w:rPr>
        <w:t>1</w:t>
      </w:r>
      <w:r w:rsidR="00C81D35" w:rsidRPr="00ED4391">
        <w:rPr>
          <w:rFonts w:asciiTheme="majorBidi" w:hAnsiTheme="majorBidi" w:cstheme="majorBidi"/>
          <w:iCs/>
        </w:rPr>
        <w:t>(2)</w:t>
      </w:r>
      <w:r w:rsidR="00CC7D0E" w:rsidRPr="00ED4391">
        <w:rPr>
          <w:rFonts w:asciiTheme="majorBidi" w:hAnsiTheme="majorBidi" w:cstheme="majorBidi"/>
        </w:rPr>
        <w:t>, 1</w:t>
      </w:r>
      <w:r w:rsidRPr="00ED4391">
        <w:rPr>
          <w:rFonts w:asciiTheme="majorBidi" w:hAnsiTheme="majorBidi" w:cstheme="majorBidi"/>
        </w:rPr>
        <w:t>50–</w:t>
      </w:r>
      <w:r w:rsidR="00486B99" w:rsidRPr="00ED4391">
        <w:rPr>
          <w:rFonts w:asciiTheme="majorBidi" w:hAnsiTheme="majorBidi" w:cstheme="majorBidi"/>
        </w:rPr>
        <w:t xml:space="preserve">162. </w:t>
      </w:r>
      <w:hyperlink r:id="rId10" w:history="1">
        <w:r w:rsidR="00EB6B08" w:rsidRPr="00ED4391">
          <w:rPr>
            <w:rStyle w:val="Hyperlink"/>
            <w:rFonts w:asciiTheme="majorBidi" w:hAnsiTheme="majorBidi" w:cstheme="majorBidi"/>
            <w:lang w:val="en"/>
          </w:rPr>
          <w:t>https://doi.org/10.1037/stl0000017</w:t>
        </w:r>
      </w:hyperlink>
    </w:p>
    <w:p w14:paraId="414323A4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Boysen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G. A.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Kelly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T. J.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Raesly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H. N.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Casner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 W.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(2014). The (mis)interpretation of teaching evaluations by college faculty and administrators.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39</w:t>
      </w:r>
      <w:r w:rsidR="00C81D35" w:rsidRPr="00ED4391">
        <w:rPr>
          <w:rFonts w:asciiTheme="majorBidi" w:hAnsiTheme="majorBidi" w:cstheme="majorBidi"/>
          <w:iCs/>
        </w:rPr>
        <w:t>(6)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641–656.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11" w:history="1">
        <w:r w:rsidR="00EB6B08" w:rsidRPr="00ED4391">
          <w:rPr>
            <w:rStyle w:val="Hyperlink"/>
            <w:rFonts w:asciiTheme="majorBidi" w:hAnsiTheme="majorBidi" w:cstheme="majorBidi"/>
          </w:rPr>
          <w:t>https://doi.org/10.1080/02602938.2013.860950</w:t>
        </w:r>
      </w:hyperlink>
    </w:p>
    <w:p w14:paraId="47BB25D7" w14:textId="77777777" w:rsidR="00EB6B08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Buller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J. L.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(2012).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Best practices in faculty evaluation: A practical guide for academic leaders</w:t>
      </w:r>
      <w:r w:rsidRPr="00ED4391">
        <w:rPr>
          <w:rFonts w:asciiTheme="majorBidi" w:hAnsiTheme="majorBidi" w:cstheme="majorBidi"/>
        </w:rPr>
        <w:t>. Jossey-Bass.</w:t>
      </w:r>
    </w:p>
    <w:p w14:paraId="71A78C15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Dewar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J. M.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(2011). Helping stakeholders understand the limitations of SRT data: Are we doing enough?</w:t>
      </w:r>
      <w:r w:rsidR="00DE1469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Journal of Faculty Development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25</w:t>
      </w:r>
      <w:r w:rsidR="00C81D35" w:rsidRPr="00ED4391">
        <w:rPr>
          <w:rFonts w:asciiTheme="majorBidi" w:hAnsiTheme="majorBidi" w:cstheme="majorBidi"/>
          <w:iCs/>
        </w:rPr>
        <w:t>(3)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40–44.</w:t>
      </w:r>
    </w:p>
    <w:p w14:paraId="43B5FFCF" w14:textId="77777777" w:rsidR="001D7F11" w:rsidRPr="00ED4391" w:rsidRDefault="001D7F11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 xml:space="preserve">Dommeyer, C. J., Baum, P., &amp; Hanna, R. W. (2002). College students’ attitudes toward methods of collecting teaching evaluations: In-class versus on-line. </w:t>
      </w:r>
      <w:r w:rsidRPr="00ED4391">
        <w:rPr>
          <w:rFonts w:asciiTheme="majorBidi" w:hAnsiTheme="majorBidi" w:cstheme="majorBidi"/>
          <w:i/>
          <w:iCs/>
        </w:rPr>
        <w:t>Journal of Education for Business</w:t>
      </w:r>
      <w:r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78</w:t>
      </w:r>
      <w:r w:rsidRPr="00ED4391">
        <w:rPr>
          <w:rFonts w:asciiTheme="majorBidi" w:hAnsiTheme="majorBidi" w:cstheme="majorBidi"/>
          <w:iCs/>
        </w:rPr>
        <w:t>(1)</w:t>
      </w:r>
      <w:r w:rsidRPr="00ED4391">
        <w:rPr>
          <w:rFonts w:asciiTheme="majorBidi" w:hAnsiTheme="majorBidi" w:cstheme="majorBidi"/>
        </w:rPr>
        <w:t xml:space="preserve">, 11–15. </w:t>
      </w:r>
      <w:hyperlink r:id="rId12" w:history="1">
        <w:r w:rsidRPr="00ED4391">
          <w:rPr>
            <w:rStyle w:val="Hyperlink"/>
            <w:rFonts w:asciiTheme="majorBidi" w:hAnsiTheme="majorBidi" w:cstheme="majorBidi"/>
          </w:rPr>
          <w:t>https://doi.org/10.1080/08832320209599691</w:t>
        </w:r>
      </w:hyperlink>
    </w:p>
    <w:p w14:paraId="38237D8B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Dommeyer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C. J.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Baum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P.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Hanna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 W.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Chapman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K. 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(2004). Gathering faculty teaching evaluations by in-class and online surveys: Their effects on response rates and evaluations.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lastRenderedPageBreak/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29</w:t>
      </w:r>
      <w:r w:rsidR="00C81D35" w:rsidRPr="00ED4391">
        <w:rPr>
          <w:rFonts w:asciiTheme="majorBidi" w:hAnsiTheme="majorBidi" w:cstheme="majorBidi"/>
          <w:iCs/>
        </w:rPr>
        <w:t>(5)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611–</w:t>
      </w:r>
      <w:r w:rsidR="00486B99" w:rsidRPr="00ED4391">
        <w:rPr>
          <w:rFonts w:asciiTheme="majorBidi" w:hAnsiTheme="majorBidi" w:cstheme="majorBidi"/>
        </w:rPr>
        <w:t xml:space="preserve">623. </w:t>
      </w:r>
      <w:hyperlink r:id="rId13" w:history="1">
        <w:r w:rsidR="00DD132E" w:rsidRPr="00ED4391">
          <w:rPr>
            <w:rStyle w:val="Hyperlink"/>
            <w:rFonts w:asciiTheme="majorBidi" w:hAnsiTheme="majorBidi" w:cstheme="majorBidi"/>
          </w:rPr>
          <w:t>https://doi.org/10.1080/02602930410001689171</w:t>
        </w:r>
      </w:hyperlink>
    </w:p>
    <w:p w14:paraId="44941310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Feistauer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Richter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T.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(2016). How reliable are students’ evaluations of teaching quality? A variance components approach.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="00C81D35" w:rsidRPr="00ED4391">
        <w:rPr>
          <w:rFonts w:asciiTheme="majorBidi" w:hAnsiTheme="majorBidi" w:cstheme="majorBidi"/>
          <w:i/>
          <w:iCs/>
        </w:rPr>
        <w:t>42</w:t>
      </w:r>
      <w:r w:rsidR="00C81D35" w:rsidRPr="00ED4391">
        <w:rPr>
          <w:rFonts w:asciiTheme="majorBidi" w:hAnsiTheme="majorBidi" w:cstheme="majorBidi"/>
          <w:iCs/>
        </w:rPr>
        <w:t>(8)</w:t>
      </w:r>
      <w:r w:rsidR="00CC7D0E" w:rsidRPr="00ED4391">
        <w:rPr>
          <w:rFonts w:asciiTheme="majorBidi" w:hAnsiTheme="majorBidi" w:cstheme="majorBidi"/>
          <w:iCs/>
        </w:rPr>
        <w:t xml:space="preserve">, </w:t>
      </w:r>
      <w:r w:rsidR="00C81D35" w:rsidRPr="00ED4391">
        <w:rPr>
          <w:rFonts w:asciiTheme="majorBidi" w:hAnsiTheme="majorBidi" w:cstheme="majorBidi"/>
          <w:iCs/>
        </w:rPr>
        <w:t>1263</w:t>
      </w:r>
      <w:r w:rsidR="00486B99" w:rsidRPr="00ED4391">
        <w:rPr>
          <w:rFonts w:asciiTheme="majorBidi" w:hAnsiTheme="majorBidi" w:cstheme="majorBidi"/>
        </w:rPr>
        <w:t>–</w:t>
      </w:r>
      <w:r w:rsidR="00C81D35" w:rsidRPr="00ED4391">
        <w:rPr>
          <w:rFonts w:asciiTheme="majorBidi" w:hAnsiTheme="majorBidi" w:cstheme="majorBidi"/>
          <w:iCs/>
        </w:rPr>
        <w:t>1279</w:t>
      </w:r>
      <w:r w:rsidRPr="00ED4391">
        <w:rPr>
          <w:rFonts w:asciiTheme="majorBidi" w:hAnsiTheme="majorBidi" w:cstheme="majorBidi"/>
        </w:rPr>
        <w:t>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14" w:history="1">
        <w:r w:rsidR="00DD132E" w:rsidRPr="00ED4391">
          <w:rPr>
            <w:rStyle w:val="Hyperlink"/>
            <w:rFonts w:asciiTheme="majorBidi" w:hAnsiTheme="majorBidi" w:cstheme="majorBidi"/>
          </w:rPr>
          <w:t>https://doi.org/10.1080/02602938.2016.1261083</w:t>
        </w:r>
      </w:hyperlink>
    </w:p>
    <w:p w14:paraId="7FAC3748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proofErr w:type="spellStart"/>
      <w:r w:rsidRPr="00ED4391">
        <w:rPr>
          <w:rFonts w:asciiTheme="majorBidi" w:hAnsiTheme="majorBidi" w:cstheme="majorBidi"/>
          <w:lang w:val="de-DE"/>
        </w:rPr>
        <w:t>Gilovich</w:t>
      </w:r>
      <w:proofErr w:type="spellEnd"/>
      <w:r w:rsidR="00CC7D0E" w:rsidRPr="00ED4391">
        <w:rPr>
          <w:rFonts w:asciiTheme="majorBidi" w:hAnsiTheme="majorBidi" w:cstheme="majorBidi"/>
          <w:lang w:val="de-DE"/>
        </w:rPr>
        <w:t xml:space="preserve">, </w:t>
      </w:r>
      <w:r w:rsidRPr="00ED4391">
        <w:rPr>
          <w:rFonts w:asciiTheme="majorBidi" w:hAnsiTheme="majorBidi" w:cstheme="majorBidi"/>
          <w:lang w:val="de-DE"/>
        </w:rPr>
        <w:t>T.</w:t>
      </w:r>
      <w:r w:rsidR="00CC7D0E" w:rsidRPr="00ED4391">
        <w:rPr>
          <w:rFonts w:asciiTheme="majorBidi" w:hAnsiTheme="majorBidi" w:cstheme="majorBidi"/>
          <w:lang w:val="de-DE"/>
        </w:rPr>
        <w:t xml:space="preserve">, </w:t>
      </w:r>
      <w:r w:rsidRPr="00ED4391">
        <w:rPr>
          <w:rFonts w:asciiTheme="majorBidi" w:hAnsiTheme="majorBidi" w:cstheme="majorBidi"/>
          <w:lang w:val="de-DE"/>
        </w:rPr>
        <w:t>Griffin</w:t>
      </w:r>
      <w:r w:rsidR="00CC7D0E" w:rsidRPr="00ED4391">
        <w:rPr>
          <w:rFonts w:asciiTheme="majorBidi" w:hAnsiTheme="majorBidi" w:cstheme="majorBidi"/>
          <w:lang w:val="de-DE"/>
        </w:rPr>
        <w:t xml:space="preserve">, </w:t>
      </w:r>
      <w:r w:rsidRPr="00ED4391">
        <w:rPr>
          <w:rFonts w:asciiTheme="majorBidi" w:hAnsiTheme="majorBidi" w:cstheme="majorBidi"/>
          <w:lang w:val="de-DE"/>
        </w:rPr>
        <w:t>D.</w:t>
      </w:r>
      <w:r w:rsidR="00CC7D0E" w:rsidRPr="00ED4391">
        <w:rPr>
          <w:rFonts w:asciiTheme="majorBidi" w:hAnsiTheme="majorBidi" w:cstheme="majorBidi"/>
          <w:lang w:val="de-DE"/>
        </w:rPr>
        <w:t xml:space="preserve">, </w:t>
      </w:r>
      <w:r w:rsidRPr="00ED4391">
        <w:rPr>
          <w:rFonts w:asciiTheme="majorBidi" w:hAnsiTheme="majorBidi" w:cstheme="majorBidi"/>
          <w:lang w:val="de-DE"/>
        </w:rPr>
        <w:t>&amp;</w:t>
      </w:r>
      <w:r w:rsidR="006274E0" w:rsidRPr="00ED4391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ED4391">
        <w:rPr>
          <w:rFonts w:asciiTheme="majorBidi" w:hAnsiTheme="majorBidi" w:cstheme="majorBidi"/>
          <w:lang w:val="de-DE"/>
        </w:rPr>
        <w:t>Kahneman</w:t>
      </w:r>
      <w:proofErr w:type="spellEnd"/>
      <w:r w:rsidR="00CC7D0E" w:rsidRPr="00ED4391">
        <w:rPr>
          <w:rFonts w:asciiTheme="majorBidi" w:hAnsiTheme="majorBidi" w:cstheme="majorBidi"/>
          <w:lang w:val="de-DE"/>
        </w:rPr>
        <w:t xml:space="preserve">, </w:t>
      </w:r>
      <w:r w:rsidRPr="00ED4391">
        <w:rPr>
          <w:rFonts w:asciiTheme="majorBidi" w:hAnsiTheme="majorBidi" w:cstheme="majorBidi"/>
          <w:lang w:val="de-DE"/>
        </w:rPr>
        <w:t>D.</w:t>
      </w:r>
      <w:r w:rsidR="006274E0" w:rsidRPr="00ED4391">
        <w:rPr>
          <w:rFonts w:asciiTheme="majorBidi" w:hAnsiTheme="majorBidi" w:cstheme="majorBidi"/>
          <w:lang w:val="de-DE"/>
        </w:rPr>
        <w:t xml:space="preserve"> </w:t>
      </w:r>
      <w:r w:rsidRPr="00ED4391">
        <w:rPr>
          <w:rFonts w:asciiTheme="majorBidi" w:hAnsiTheme="majorBidi" w:cstheme="majorBidi"/>
          <w:lang w:val="de-DE"/>
        </w:rPr>
        <w:t xml:space="preserve">(Eds.). </w:t>
      </w:r>
      <w:r w:rsidRPr="00ED4391">
        <w:rPr>
          <w:rFonts w:asciiTheme="majorBidi" w:hAnsiTheme="majorBidi" w:cstheme="majorBidi"/>
        </w:rPr>
        <w:t>(2002).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Heuristics and biases: The psychology of intuitive judgment</w:t>
      </w:r>
      <w:r w:rsidRPr="00ED4391">
        <w:rPr>
          <w:rFonts w:asciiTheme="majorBidi" w:hAnsiTheme="majorBidi" w:cstheme="majorBidi"/>
        </w:rPr>
        <w:t>. Cambridge University</w:t>
      </w:r>
      <w:r w:rsidR="006274E0" w:rsidRPr="00ED4391">
        <w:rPr>
          <w:rFonts w:asciiTheme="majorBidi" w:hAnsiTheme="majorBidi" w:cstheme="majorBidi"/>
        </w:rPr>
        <w:t xml:space="preserve"> Press. </w:t>
      </w:r>
      <w:hyperlink r:id="rId15" w:history="1">
        <w:r w:rsidR="00DD132E" w:rsidRPr="00ED4391">
          <w:rPr>
            <w:rStyle w:val="Hyperlink"/>
            <w:rFonts w:asciiTheme="majorBidi" w:hAnsiTheme="majorBidi" w:cstheme="majorBidi"/>
          </w:rPr>
          <w:t>https://doi.org/10.1017/CBO9780511808098</w:t>
        </w:r>
      </w:hyperlink>
    </w:p>
    <w:p w14:paraId="0CD1C9A2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Griffin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T. J.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Hilton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J.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III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Plummer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K.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Barret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(2014). Correlation between grade point averages and student evaluation of teaching scores: Taking a closer look.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39</w:t>
      </w:r>
      <w:r w:rsidR="00C81D35" w:rsidRPr="00ED4391">
        <w:rPr>
          <w:rFonts w:asciiTheme="majorBidi" w:hAnsiTheme="majorBidi" w:cstheme="majorBidi"/>
          <w:iCs/>
        </w:rPr>
        <w:t>(3)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339–</w:t>
      </w:r>
      <w:r w:rsidR="00486B99" w:rsidRPr="00ED4391">
        <w:rPr>
          <w:rFonts w:asciiTheme="majorBidi" w:hAnsiTheme="majorBidi" w:cstheme="majorBidi"/>
        </w:rPr>
        <w:t xml:space="preserve">348. </w:t>
      </w:r>
      <w:hyperlink r:id="rId16" w:history="1">
        <w:r w:rsidR="00DD132E" w:rsidRPr="00ED4391">
          <w:rPr>
            <w:rStyle w:val="Hyperlink"/>
            <w:rFonts w:asciiTheme="majorBidi" w:hAnsiTheme="majorBidi" w:cstheme="majorBidi"/>
          </w:rPr>
          <w:t>https://doi.org/10.1080/02602938.2013.831809</w:t>
        </w:r>
      </w:hyperlink>
    </w:p>
    <w:p w14:paraId="673104B8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Jaquett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C. M.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VanMaaren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V. G.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Williams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 L.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(2016). The effect of extra-credit incentives on student submission of end-of-course evaluations.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Scholarship of Teaching and Learning in Psychology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2</w:t>
      </w:r>
      <w:r w:rsidR="00C81D35" w:rsidRPr="00ED4391">
        <w:rPr>
          <w:rFonts w:asciiTheme="majorBidi" w:hAnsiTheme="majorBidi" w:cstheme="majorBidi"/>
          <w:iCs/>
        </w:rPr>
        <w:t>(1)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49–61.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17" w:history="1">
        <w:r w:rsidR="00DD132E" w:rsidRPr="00ED4391">
          <w:rPr>
            <w:rStyle w:val="Hyperlink"/>
            <w:rFonts w:asciiTheme="majorBidi" w:hAnsiTheme="majorBidi" w:cstheme="majorBidi"/>
          </w:rPr>
          <w:t>https://doi.org/10.1037/stl0000052</w:t>
        </w:r>
      </w:hyperlink>
    </w:p>
    <w:p w14:paraId="5E8F01E0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Jaquett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C. M.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VanMaaren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 xml:space="preserve">V. </w:t>
      </w:r>
      <w:r w:rsidR="00C044E2" w:rsidRPr="00ED4391">
        <w:rPr>
          <w:rFonts w:asciiTheme="majorBidi" w:hAnsiTheme="majorBidi" w:cstheme="majorBidi"/>
        </w:rPr>
        <w:t>G</w:t>
      </w:r>
      <w:r w:rsidRPr="00ED4391">
        <w:rPr>
          <w:rFonts w:asciiTheme="majorBidi" w:hAnsiTheme="majorBidi" w:cstheme="majorBidi"/>
        </w:rPr>
        <w:t>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Williams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 L.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(2017). Course factors that motivate students to submit end-of-course evaluations.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Innovative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42</w:t>
      </w:r>
      <w:r w:rsidR="00C81D35" w:rsidRPr="00ED4391">
        <w:rPr>
          <w:rFonts w:asciiTheme="majorBidi" w:hAnsiTheme="majorBidi" w:cstheme="majorBidi"/>
          <w:iCs/>
        </w:rPr>
        <w:t>(1)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19–31.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18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https://doi.org/10.1007/s10755-016-9368-5</w:t>
        </w:r>
      </w:hyperlink>
    </w:p>
    <w:p w14:paraId="2F47D1F5" w14:textId="77777777" w:rsidR="00EC63D6" w:rsidRPr="00ED4391" w:rsidRDefault="00B40BBE" w:rsidP="004D3387">
      <w:pPr>
        <w:pStyle w:val="Literaturverzeichnis1"/>
        <w:rPr>
          <w:rStyle w:val="Hyperlink"/>
          <w:rFonts w:asciiTheme="majorBidi" w:hAnsiTheme="majorBidi" w:cstheme="majorBidi"/>
          <w:color w:val="auto"/>
        </w:rPr>
      </w:pPr>
      <w:r w:rsidRPr="00ED4391">
        <w:rPr>
          <w:rFonts w:asciiTheme="majorBidi" w:hAnsiTheme="majorBidi" w:cstheme="majorBidi"/>
        </w:rPr>
        <w:t>Morrison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(2011). A comparison of online versus traditional student end-of-course critiques in resident courses.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36</w:t>
      </w:r>
      <w:r w:rsidR="00C81D35" w:rsidRPr="00ED4391">
        <w:rPr>
          <w:rFonts w:asciiTheme="majorBidi" w:hAnsiTheme="majorBidi" w:cstheme="majorBidi"/>
          <w:iCs/>
        </w:rPr>
        <w:t>(6)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627–</w:t>
      </w:r>
      <w:r w:rsidR="00486B99" w:rsidRPr="00ED4391">
        <w:rPr>
          <w:rFonts w:asciiTheme="majorBidi" w:hAnsiTheme="majorBidi" w:cstheme="majorBidi"/>
        </w:rPr>
        <w:t xml:space="preserve">641. </w:t>
      </w:r>
      <w:hyperlink r:id="rId19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https://doi.org/10.1080/02602931003632399</w:t>
        </w:r>
      </w:hyperlink>
    </w:p>
    <w:p w14:paraId="714E66D6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Nowell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C.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Gale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L. R.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Handley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B.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(2010). Assessing faculty performance using student evaluations of teaching in an uncontrolled setting.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35</w:t>
      </w:r>
      <w:r w:rsidR="00C81D35" w:rsidRPr="00ED4391">
        <w:rPr>
          <w:rFonts w:asciiTheme="majorBidi" w:hAnsiTheme="majorBidi" w:cstheme="majorBidi"/>
          <w:iCs/>
        </w:rPr>
        <w:t>(4)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463–475.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20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https://doi.org/10.1080/02602930902862875</w:t>
        </w:r>
      </w:hyperlink>
    </w:p>
    <w:p w14:paraId="67CC20D7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Nulty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 D.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(2008). The adequacy of response rates to online and paper surveys: What can be done?</w:t>
      </w:r>
      <w:r w:rsidR="00955FD6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33</w:t>
      </w:r>
      <w:r w:rsidR="00C81D35" w:rsidRPr="00ED4391">
        <w:rPr>
          <w:rFonts w:asciiTheme="majorBidi" w:hAnsiTheme="majorBidi" w:cstheme="majorBidi"/>
          <w:iCs/>
        </w:rPr>
        <w:t>(3)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301–</w:t>
      </w:r>
      <w:r w:rsidR="00486B99" w:rsidRPr="00ED4391">
        <w:rPr>
          <w:rFonts w:asciiTheme="majorBidi" w:hAnsiTheme="majorBidi" w:cstheme="majorBidi"/>
        </w:rPr>
        <w:t xml:space="preserve">314. </w:t>
      </w:r>
      <w:hyperlink r:id="rId21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https://doi.org/10.1080/02602930701293231</w:t>
        </w:r>
      </w:hyperlink>
    </w:p>
    <w:p w14:paraId="1D14D71D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lastRenderedPageBreak/>
        <w:t>Palmer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M. S.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Bach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 J.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Streifer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A. C.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(2014). Measuring the promise: A learning-focused syllabus rubric.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 xml:space="preserve">To </w:t>
      </w:r>
      <w:r w:rsidR="00C81D35" w:rsidRPr="00ED4391">
        <w:rPr>
          <w:rFonts w:asciiTheme="majorBidi" w:hAnsiTheme="majorBidi" w:cstheme="majorBidi"/>
          <w:i/>
          <w:iCs/>
        </w:rPr>
        <w:t>I</w:t>
      </w:r>
      <w:r w:rsidRPr="00ED4391">
        <w:rPr>
          <w:rFonts w:asciiTheme="majorBidi" w:hAnsiTheme="majorBidi" w:cstheme="majorBidi"/>
          <w:i/>
          <w:iCs/>
        </w:rPr>
        <w:t xml:space="preserve">mprove the </w:t>
      </w:r>
      <w:r w:rsidR="00C81D35" w:rsidRPr="00ED4391">
        <w:rPr>
          <w:rFonts w:asciiTheme="majorBidi" w:hAnsiTheme="majorBidi" w:cstheme="majorBidi"/>
          <w:i/>
          <w:iCs/>
        </w:rPr>
        <w:t>A</w:t>
      </w:r>
      <w:r w:rsidRPr="00ED4391">
        <w:rPr>
          <w:rFonts w:asciiTheme="majorBidi" w:hAnsiTheme="majorBidi" w:cstheme="majorBidi"/>
          <w:i/>
          <w:iCs/>
        </w:rPr>
        <w:t xml:space="preserve">cademy: A </w:t>
      </w:r>
      <w:r w:rsidR="00A25CAE" w:rsidRPr="00ED4391">
        <w:rPr>
          <w:rFonts w:asciiTheme="majorBidi" w:hAnsiTheme="majorBidi" w:cstheme="majorBidi"/>
          <w:i/>
          <w:iCs/>
        </w:rPr>
        <w:t>J</w:t>
      </w:r>
      <w:r w:rsidRPr="00ED4391">
        <w:rPr>
          <w:rFonts w:asciiTheme="majorBidi" w:hAnsiTheme="majorBidi" w:cstheme="majorBidi"/>
          <w:i/>
          <w:iCs/>
        </w:rPr>
        <w:t xml:space="preserve">ournal of </w:t>
      </w:r>
      <w:r w:rsidR="00A25CAE" w:rsidRPr="00ED4391">
        <w:rPr>
          <w:rFonts w:asciiTheme="majorBidi" w:hAnsiTheme="majorBidi" w:cstheme="majorBidi"/>
          <w:i/>
          <w:iCs/>
        </w:rPr>
        <w:t>E</w:t>
      </w:r>
      <w:r w:rsidRPr="00ED4391">
        <w:rPr>
          <w:rFonts w:asciiTheme="majorBidi" w:hAnsiTheme="majorBidi" w:cstheme="majorBidi"/>
          <w:i/>
          <w:iCs/>
        </w:rPr>
        <w:t xml:space="preserve">ducational </w:t>
      </w:r>
      <w:r w:rsidR="00A25CAE" w:rsidRPr="00ED4391">
        <w:rPr>
          <w:rFonts w:asciiTheme="majorBidi" w:hAnsiTheme="majorBidi" w:cstheme="majorBidi"/>
          <w:i/>
          <w:iCs/>
        </w:rPr>
        <w:t>D</w:t>
      </w:r>
      <w:r w:rsidRPr="00ED4391">
        <w:rPr>
          <w:rFonts w:asciiTheme="majorBidi" w:hAnsiTheme="majorBidi" w:cstheme="majorBidi"/>
          <w:i/>
          <w:iCs/>
        </w:rPr>
        <w:t>evelopment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33</w:t>
      </w:r>
      <w:r w:rsidR="00C81D35" w:rsidRPr="00ED4391">
        <w:rPr>
          <w:rFonts w:asciiTheme="majorBidi" w:hAnsiTheme="majorBidi" w:cstheme="majorBidi"/>
          <w:iCs/>
        </w:rPr>
        <w:t>(1)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14–36.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22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https://doi.org/10.1002/tia2.20004</w:t>
        </w:r>
      </w:hyperlink>
    </w:p>
    <w:p w14:paraId="438D2271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  <w:lang w:val="de-DE"/>
        </w:rPr>
        <w:t>Reiner</w:t>
      </w:r>
      <w:r w:rsidR="00CC7D0E" w:rsidRPr="00ED4391">
        <w:rPr>
          <w:rFonts w:asciiTheme="majorBidi" w:hAnsiTheme="majorBidi" w:cstheme="majorBidi"/>
          <w:lang w:val="de-DE"/>
        </w:rPr>
        <w:t xml:space="preserve">, </w:t>
      </w:r>
      <w:r w:rsidRPr="00ED4391">
        <w:rPr>
          <w:rFonts w:asciiTheme="majorBidi" w:hAnsiTheme="majorBidi" w:cstheme="majorBidi"/>
          <w:lang w:val="de-DE"/>
        </w:rPr>
        <w:t>C. M.</w:t>
      </w:r>
      <w:r w:rsidR="00CC7D0E" w:rsidRPr="00ED4391">
        <w:rPr>
          <w:rFonts w:asciiTheme="majorBidi" w:hAnsiTheme="majorBidi" w:cstheme="majorBidi"/>
          <w:lang w:val="de-DE"/>
        </w:rPr>
        <w:t xml:space="preserve">, </w:t>
      </w:r>
      <w:r w:rsidRPr="00ED4391">
        <w:rPr>
          <w:rFonts w:asciiTheme="majorBidi" w:hAnsiTheme="majorBidi" w:cstheme="majorBidi"/>
          <w:lang w:val="de-DE"/>
        </w:rPr>
        <w:t>&amp;</w:t>
      </w:r>
      <w:r w:rsidR="006274E0" w:rsidRPr="00ED4391">
        <w:rPr>
          <w:rFonts w:asciiTheme="majorBidi" w:hAnsiTheme="majorBidi" w:cstheme="majorBidi"/>
          <w:lang w:val="de-DE"/>
        </w:rPr>
        <w:t xml:space="preserve"> </w:t>
      </w:r>
      <w:r w:rsidRPr="00ED4391">
        <w:rPr>
          <w:rFonts w:asciiTheme="majorBidi" w:hAnsiTheme="majorBidi" w:cstheme="majorBidi"/>
          <w:lang w:val="de-DE"/>
        </w:rPr>
        <w:t>Arnold</w:t>
      </w:r>
      <w:r w:rsidR="00CC7D0E" w:rsidRPr="00ED4391">
        <w:rPr>
          <w:rFonts w:asciiTheme="majorBidi" w:hAnsiTheme="majorBidi" w:cstheme="majorBidi"/>
          <w:lang w:val="de-DE"/>
        </w:rPr>
        <w:t xml:space="preserve">, </w:t>
      </w:r>
      <w:r w:rsidRPr="00ED4391">
        <w:rPr>
          <w:rFonts w:asciiTheme="majorBidi" w:hAnsiTheme="majorBidi" w:cstheme="majorBidi"/>
          <w:lang w:val="de-DE"/>
        </w:rPr>
        <w:t>K. E.</w:t>
      </w:r>
      <w:r w:rsidR="006274E0" w:rsidRPr="00ED4391">
        <w:rPr>
          <w:rFonts w:asciiTheme="majorBidi" w:hAnsiTheme="majorBidi" w:cstheme="majorBidi"/>
          <w:lang w:val="de-DE"/>
        </w:rPr>
        <w:t xml:space="preserve"> </w:t>
      </w:r>
      <w:r w:rsidRPr="00ED4391">
        <w:rPr>
          <w:rFonts w:asciiTheme="majorBidi" w:hAnsiTheme="majorBidi" w:cstheme="majorBidi"/>
          <w:lang w:val="de-DE"/>
        </w:rPr>
        <w:t xml:space="preserve">(2010). </w:t>
      </w:r>
      <w:r w:rsidRPr="00ED4391">
        <w:rPr>
          <w:rFonts w:asciiTheme="majorBidi" w:hAnsiTheme="majorBidi" w:cstheme="majorBidi"/>
        </w:rPr>
        <w:t>Online course evaluation: Student and instructor perspectives and assessment potential.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Update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22</w:t>
      </w:r>
      <w:r w:rsidR="00A25CAE" w:rsidRPr="00ED4391">
        <w:rPr>
          <w:rFonts w:asciiTheme="majorBidi" w:hAnsiTheme="majorBidi" w:cstheme="majorBidi"/>
          <w:iCs/>
        </w:rPr>
        <w:t>(2)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8–</w:t>
      </w:r>
      <w:r w:rsidR="00486B99" w:rsidRPr="00ED4391">
        <w:rPr>
          <w:rFonts w:asciiTheme="majorBidi" w:hAnsiTheme="majorBidi" w:cstheme="majorBidi"/>
        </w:rPr>
        <w:t xml:space="preserve">10. </w:t>
      </w:r>
      <w:hyperlink r:id="rId23" w:history="1">
        <w:r w:rsidR="003C5C48" w:rsidRPr="00ED4391">
          <w:rPr>
            <w:rStyle w:val="Hyperlink"/>
            <w:rFonts w:asciiTheme="majorBidi" w:hAnsiTheme="majorBidi" w:cstheme="majorBidi"/>
          </w:rPr>
          <w:t>https://doi.org/10.1002/au.222</w:t>
        </w:r>
      </w:hyperlink>
    </w:p>
    <w:p w14:paraId="186F17A7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Risquez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A.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Vaughan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E.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Murphy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M.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(2015). Online student evaluations of teaching: What are we sacrificing for the affordances of technology?</w:t>
      </w:r>
      <w:r w:rsidR="00955FD6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40</w:t>
      </w:r>
      <w:r w:rsidR="00A25CAE" w:rsidRPr="00ED4391">
        <w:rPr>
          <w:rFonts w:asciiTheme="majorBidi" w:hAnsiTheme="majorBidi" w:cstheme="majorBidi"/>
          <w:iCs/>
        </w:rPr>
        <w:t>(1)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210–234.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24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https://doi.org/10.1080/02602938.2014.890695</w:t>
        </w:r>
      </w:hyperlink>
    </w:p>
    <w:p w14:paraId="78EB29E5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Spooren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P.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Brockx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B.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Mortelmans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(2013). On the validity of student evaluation of teaching: The state of the art.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Review of Educational Research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83</w:t>
      </w:r>
      <w:r w:rsidR="00A25CAE" w:rsidRPr="00ED4391">
        <w:rPr>
          <w:rFonts w:asciiTheme="majorBidi" w:hAnsiTheme="majorBidi" w:cstheme="majorBidi"/>
          <w:iCs/>
        </w:rPr>
        <w:t>(4)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598–</w:t>
      </w:r>
      <w:r w:rsidR="00486B99" w:rsidRPr="00ED4391">
        <w:rPr>
          <w:rFonts w:asciiTheme="majorBidi" w:hAnsiTheme="majorBidi" w:cstheme="majorBidi"/>
        </w:rPr>
        <w:t xml:space="preserve">642. </w:t>
      </w:r>
      <w:hyperlink r:id="rId25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https://doi.org/10.3102/0034654313496870</w:t>
        </w:r>
      </w:hyperlink>
    </w:p>
    <w:p w14:paraId="70B33A4A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Stanny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C. J.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Gonzalez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M.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McGowan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B.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(2015). Assessing the culture of teaching and learning through a syllabus review.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40</w:t>
      </w:r>
      <w:r w:rsidR="00A25CAE" w:rsidRPr="00ED4391">
        <w:rPr>
          <w:rFonts w:asciiTheme="majorBidi" w:hAnsiTheme="majorBidi" w:cstheme="majorBidi"/>
          <w:iCs/>
        </w:rPr>
        <w:t>(7)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898–913.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26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https://doi.org/10.1080/02602938.2014.956684</w:t>
        </w:r>
      </w:hyperlink>
    </w:p>
    <w:p w14:paraId="26D00BB7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Stark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P. B.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Freishtat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(2014). An evaluation of course evaluations.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ScienceOpen Research</w:t>
      </w:r>
      <w:r w:rsidRPr="00ED4391">
        <w:rPr>
          <w:rFonts w:asciiTheme="majorBidi" w:hAnsiTheme="majorBidi" w:cstheme="majorBidi"/>
        </w:rPr>
        <w:t xml:space="preserve">. </w:t>
      </w:r>
      <w:hyperlink r:id="rId27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https://doi.org/10.14293/S2199-1006.1.SOR-EDU.AOFRQA.v1</w:t>
        </w:r>
      </w:hyperlink>
    </w:p>
    <w:p w14:paraId="165E3570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Stowell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J. R.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Addison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W. E.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Smith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J. L.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(2012). Comparison of online and classroom-based student evaluations of instruction.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37</w:t>
      </w:r>
      <w:r w:rsidR="00A25CAE" w:rsidRPr="00ED4391">
        <w:rPr>
          <w:rFonts w:asciiTheme="majorBidi" w:hAnsiTheme="majorBidi" w:cstheme="majorBidi"/>
          <w:iCs/>
        </w:rPr>
        <w:t>(4)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465–473.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28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https://doi.org/10.1080/02602938.2010.545869</w:t>
        </w:r>
      </w:hyperlink>
    </w:p>
    <w:p w14:paraId="3734C7E1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Tversky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A.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Kahneman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(1971). Belief in the law of small numbers.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Psychological Bulletin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76</w:t>
      </w:r>
      <w:r w:rsidR="00A25CAE" w:rsidRPr="00ED4391">
        <w:rPr>
          <w:rFonts w:asciiTheme="majorBidi" w:hAnsiTheme="majorBidi" w:cstheme="majorBidi"/>
          <w:iCs/>
        </w:rPr>
        <w:t>(2)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105–110.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29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https://doi.org/10.1037/h0031322</w:t>
        </w:r>
      </w:hyperlink>
    </w:p>
    <w:p w14:paraId="7EE4D36F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Uttl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B.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White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C. A.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Gonzalez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 W.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(2017). Meta-analysis of faculty’s teaching effectiveness: Student evaluation of teaching ratings and student learning are not related.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Studies in Educational Evaluation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54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22–</w:t>
      </w:r>
      <w:r w:rsidR="00486B99" w:rsidRPr="00ED4391">
        <w:rPr>
          <w:rFonts w:asciiTheme="majorBidi" w:hAnsiTheme="majorBidi" w:cstheme="majorBidi"/>
        </w:rPr>
        <w:t xml:space="preserve">42. </w:t>
      </w:r>
      <w:hyperlink r:id="rId30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https://doi.org/10.1016/j.stueduc.2016.08.007</w:t>
        </w:r>
      </w:hyperlink>
    </w:p>
    <w:p w14:paraId="2B903B37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lastRenderedPageBreak/>
        <w:t>Venette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S.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Sellnow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McIntyre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K.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(2010). Charting new territory: Assessing the online frontier of student ratings of instruction.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Assessment &amp; Evaluation in Higher Education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  <w:i/>
          <w:iCs/>
        </w:rPr>
        <w:t>35</w:t>
      </w:r>
      <w:r w:rsidR="00A25CAE" w:rsidRPr="00ED4391">
        <w:rPr>
          <w:rFonts w:asciiTheme="majorBidi" w:hAnsiTheme="majorBidi" w:cstheme="majorBidi"/>
          <w:iCs/>
        </w:rPr>
        <w:t>(1)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101–115.</w:t>
      </w:r>
      <w:r w:rsidR="006274E0" w:rsidRPr="00ED4391">
        <w:rPr>
          <w:rFonts w:asciiTheme="majorBidi" w:hAnsiTheme="majorBidi" w:cstheme="majorBidi"/>
        </w:rPr>
        <w:t xml:space="preserve"> </w:t>
      </w:r>
      <w:hyperlink r:id="rId31" w:history="1">
        <w:r w:rsidR="00EC63D6" w:rsidRPr="00ED4391">
          <w:rPr>
            <w:rStyle w:val="Hyperlink"/>
            <w:rFonts w:asciiTheme="majorBidi" w:hAnsiTheme="majorBidi" w:cstheme="majorBidi"/>
          </w:rPr>
          <w:t>https://doi.org/10.1080/02602930802618336</w:t>
        </w:r>
      </w:hyperlink>
    </w:p>
    <w:p w14:paraId="573C8A6A" w14:textId="77777777" w:rsidR="00B40BBE" w:rsidRPr="00ED4391" w:rsidRDefault="00B40BBE" w:rsidP="004D3387">
      <w:pPr>
        <w:pStyle w:val="Literaturverzeichnis1"/>
        <w:rPr>
          <w:rFonts w:asciiTheme="majorBidi" w:hAnsiTheme="majorBidi" w:cstheme="majorBidi"/>
        </w:rPr>
      </w:pPr>
      <w:r w:rsidRPr="00ED4391">
        <w:rPr>
          <w:rFonts w:asciiTheme="majorBidi" w:hAnsiTheme="majorBidi" w:cstheme="majorBidi"/>
        </w:rPr>
        <w:t>Webb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E. J.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Campbell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D. T.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Schwartz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R. D.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&amp;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Sechrest</w:t>
      </w:r>
      <w:r w:rsidR="00CC7D0E" w:rsidRPr="00ED4391">
        <w:rPr>
          <w:rFonts w:asciiTheme="majorBidi" w:hAnsiTheme="majorBidi" w:cstheme="majorBidi"/>
        </w:rPr>
        <w:t xml:space="preserve">, </w:t>
      </w:r>
      <w:r w:rsidRPr="00ED4391">
        <w:rPr>
          <w:rFonts w:asciiTheme="majorBidi" w:hAnsiTheme="majorBidi" w:cstheme="majorBidi"/>
        </w:rPr>
        <w:t>L.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</w:rPr>
        <w:t>(1966).</w:t>
      </w:r>
      <w:r w:rsidR="006274E0" w:rsidRPr="00ED4391">
        <w:rPr>
          <w:rFonts w:asciiTheme="majorBidi" w:hAnsiTheme="majorBidi" w:cstheme="majorBidi"/>
        </w:rPr>
        <w:t xml:space="preserve"> </w:t>
      </w:r>
      <w:r w:rsidRPr="00ED4391">
        <w:rPr>
          <w:rFonts w:asciiTheme="majorBidi" w:hAnsiTheme="majorBidi" w:cstheme="majorBidi"/>
          <w:i/>
          <w:iCs/>
        </w:rPr>
        <w:t>Unobtrusive measures: Nonreactive research in the social sciences</w:t>
      </w:r>
      <w:r w:rsidRPr="00ED4391">
        <w:rPr>
          <w:rFonts w:asciiTheme="majorBidi" w:hAnsiTheme="majorBidi" w:cstheme="majorBidi"/>
        </w:rPr>
        <w:t>. Rand McNally.</w:t>
      </w:r>
      <w:r w:rsidRPr="00ED4391">
        <w:rPr>
          <w:rFonts w:asciiTheme="majorBidi" w:hAnsiTheme="majorBidi" w:cstheme="majorBidi"/>
        </w:rPr>
        <w:br w:type="page"/>
      </w:r>
    </w:p>
    <w:p w14:paraId="4896F1C1" w14:textId="77777777" w:rsidR="00A25CAE" w:rsidRPr="00ED4391" w:rsidRDefault="00A25CAE" w:rsidP="00526416">
      <w:pPr>
        <w:pStyle w:val="TableCaption"/>
      </w:pPr>
      <w:r w:rsidRPr="00ED4391">
        <w:lastRenderedPageBreak/>
        <w:t>Table 1</w:t>
      </w:r>
    </w:p>
    <w:p w14:paraId="61C54C82" w14:textId="77777777" w:rsidR="00A25CAE" w:rsidRPr="00ED4391" w:rsidRDefault="00A25CAE" w:rsidP="0017154C">
      <w:pPr>
        <w:tabs>
          <w:tab w:val="clear" w:pos="3068"/>
        </w:tabs>
        <w:ind w:firstLine="0"/>
        <w:contextualSpacing/>
        <w:rPr>
          <w:rFonts w:asciiTheme="majorBidi" w:hAnsiTheme="majorBidi" w:cstheme="majorBidi"/>
          <w:i/>
          <w:szCs w:val="22"/>
        </w:rPr>
      </w:pPr>
      <w:r w:rsidRPr="00ED4391">
        <w:rPr>
          <w:rFonts w:asciiTheme="majorBidi" w:hAnsiTheme="majorBidi" w:cstheme="majorBidi"/>
          <w:i/>
          <w:szCs w:val="22"/>
        </w:rPr>
        <w:t xml:space="preserve">Means and Standard Deviations for </w:t>
      </w:r>
      <w:r w:rsidR="00EB6B08" w:rsidRPr="00ED4391">
        <w:rPr>
          <w:rFonts w:asciiTheme="majorBidi" w:hAnsiTheme="majorBidi" w:cstheme="majorBidi"/>
          <w:i/>
          <w:szCs w:val="22"/>
        </w:rPr>
        <w:t xml:space="preserve">Response Rates </w:t>
      </w:r>
      <w:r w:rsidRPr="00ED4391">
        <w:rPr>
          <w:rFonts w:asciiTheme="majorBidi" w:hAnsiTheme="majorBidi" w:cstheme="majorBidi"/>
          <w:i/>
          <w:szCs w:val="22"/>
        </w:rPr>
        <w:t>(Course Delivery Method by Evaluation Year)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798"/>
        <w:gridCol w:w="1799"/>
        <w:gridCol w:w="1799"/>
        <w:gridCol w:w="1799"/>
      </w:tblGrid>
      <w:tr w:rsidR="00134700" w:rsidRPr="00FA75AB" w14:paraId="77C47509" w14:textId="77777777" w:rsidTr="008769B7">
        <w:tc>
          <w:tcPr>
            <w:tcW w:w="2155" w:type="dxa"/>
            <w:vMerge w:val="restart"/>
            <w:tcBorders>
              <w:top w:val="single" w:sz="8" w:space="0" w:color="auto"/>
            </w:tcBorders>
          </w:tcPr>
          <w:p w14:paraId="0B2228D1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Administration year</w:t>
            </w:r>
          </w:p>
        </w:tc>
        <w:tc>
          <w:tcPr>
            <w:tcW w:w="359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38848709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Face-to-face course</w:t>
            </w:r>
          </w:p>
        </w:tc>
        <w:tc>
          <w:tcPr>
            <w:tcW w:w="3598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F3D2515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Online course</w:t>
            </w:r>
          </w:p>
        </w:tc>
      </w:tr>
      <w:tr w:rsidR="00134700" w:rsidRPr="00FA75AB" w14:paraId="3EDAF8B0" w14:textId="77777777" w:rsidTr="008769B7">
        <w:tc>
          <w:tcPr>
            <w:tcW w:w="2155" w:type="dxa"/>
            <w:vMerge/>
            <w:tcBorders>
              <w:bottom w:val="single" w:sz="8" w:space="0" w:color="auto"/>
            </w:tcBorders>
          </w:tcPr>
          <w:p w14:paraId="46CAD560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798" w:type="dxa"/>
            <w:tcBorders>
              <w:top w:val="single" w:sz="8" w:space="0" w:color="auto"/>
              <w:bottom w:val="single" w:sz="8" w:space="0" w:color="auto"/>
            </w:tcBorders>
          </w:tcPr>
          <w:p w14:paraId="6E68AE7F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i/>
                <w:szCs w:val="22"/>
              </w:rPr>
            </w:pPr>
            <w:r w:rsidRPr="00FA75AB">
              <w:rPr>
                <w:rFonts w:asciiTheme="minorHAnsi" w:hAnsiTheme="minorHAnsi" w:cstheme="minorHAnsi"/>
                <w:i/>
                <w:szCs w:val="22"/>
              </w:rPr>
              <w:t>M</w:t>
            </w:r>
          </w:p>
        </w:tc>
        <w:tc>
          <w:tcPr>
            <w:tcW w:w="1799" w:type="dxa"/>
            <w:tcBorders>
              <w:top w:val="single" w:sz="8" w:space="0" w:color="auto"/>
              <w:bottom w:val="single" w:sz="8" w:space="0" w:color="auto"/>
            </w:tcBorders>
          </w:tcPr>
          <w:p w14:paraId="40FB2A2F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i/>
                <w:szCs w:val="22"/>
              </w:rPr>
            </w:pPr>
            <w:r w:rsidRPr="00FA75AB">
              <w:rPr>
                <w:rFonts w:asciiTheme="minorHAnsi" w:hAnsiTheme="minorHAnsi" w:cstheme="minorHAnsi"/>
                <w:i/>
                <w:szCs w:val="22"/>
              </w:rPr>
              <w:t>SD</w:t>
            </w:r>
          </w:p>
        </w:tc>
        <w:tc>
          <w:tcPr>
            <w:tcW w:w="1799" w:type="dxa"/>
            <w:tcBorders>
              <w:top w:val="single" w:sz="8" w:space="0" w:color="auto"/>
              <w:bottom w:val="single" w:sz="8" w:space="0" w:color="auto"/>
            </w:tcBorders>
          </w:tcPr>
          <w:p w14:paraId="7E8E2436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i/>
                <w:szCs w:val="22"/>
              </w:rPr>
            </w:pPr>
            <w:r w:rsidRPr="00FA75AB">
              <w:rPr>
                <w:rFonts w:asciiTheme="minorHAnsi" w:hAnsiTheme="minorHAnsi" w:cstheme="minorHAnsi"/>
                <w:i/>
                <w:szCs w:val="22"/>
              </w:rPr>
              <w:t>M</w:t>
            </w:r>
          </w:p>
        </w:tc>
        <w:tc>
          <w:tcPr>
            <w:tcW w:w="1799" w:type="dxa"/>
            <w:tcBorders>
              <w:top w:val="single" w:sz="8" w:space="0" w:color="auto"/>
              <w:bottom w:val="single" w:sz="8" w:space="0" w:color="auto"/>
            </w:tcBorders>
          </w:tcPr>
          <w:p w14:paraId="2E103556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i/>
                <w:szCs w:val="22"/>
              </w:rPr>
            </w:pPr>
            <w:r w:rsidRPr="00FA75AB">
              <w:rPr>
                <w:rFonts w:asciiTheme="minorHAnsi" w:hAnsiTheme="minorHAnsi" w:cstheme="minorHAnsi"/>
                <w:i/>
                <w:szCs w:val="22"/>
              </w:rPr>
              <w:t>SD</w:t>
            </w:r>
          </w:p>
        </w:tc>
      </w:tr>
      <w:tr w:rsidR="00134700" w:rsidRPr="00FA75AB" w14:paraId="60062D74" w14:textId="77777777" w:rsidTr="008769B7">
        <w:tc>
          <w:tcPr>
            <w:tcW w:w="2155" w:type="dxa"/>
            <w:tcBorders>
              <w:top w:val="single" w:sz="8" w:space="0" w:color="auto"/>
            </w:tcBorders>
          </w:tcPr>
          <w:p w14:paraId="7183469C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Year 1: 2012</w:t>
            </w:r>
          </w:p>
        </w:tc>
        <w:tc>
          <w:tcPr>
            <w:tcW w:w="1798" w:type="dxa"/>
            <w:tcBorders>
              <w:top w:val="single" w:sz="8" w:space="0" w:color="auto"/>
            </w:tcBorders>
          </w:tcPr>
          <w:p w14:paraId="5438C43C" w14:textId="77777777" w:rsidR="00134700" w:rsidRPr="00FA75AB" w:rsidRDefault="00134700" w:rsidP="00AF3464">
            <w:pPr>
              <w:pStyle w:val="Table"/>
            </w:pPr>
            <w:r w:rsidRPr="00FA75AB">
              <w:t>71.</w:t>
            </w:r>
            <w:r w:rsidRPr="00AF3464">
              <w:t>72</w:t>
            </w:r>
          </w:p>
        </w:tc>
        <w:tc>
          <w:tcPr>
            <w:tcW w:w="1799" w:type="dxa"/>
            <w:tcBorders>
              <w:top w:val="single" w:sz="8" w:space="0" w:color="auto"/>
            </w:tcBorders>
          </w:tcPr>
          <w:p w14:paraId="20CD0B7D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16.42</w:t>
            </w:r>
          </w:p>
        </w:tc>
        <w:tc>
          <w:tcPr>
            <w:tcW w:w="1799" w:type="dxa"/>
            <w:tcBorders>
              <w:top w:val="single" w:sz="8" w:space="0" w:color="auto"/>
            </w:tcBorders>
          </w:tcPr>
          <w:p w14:paraId="753E7E24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32.93</w:t>
            </w:r>
          </w:p>
        </w:tc>
        <w:tc>
          <w:tcPr>
            <w:tcW w:w="1799" w:type="dxa"/>
            <w:tcBorders>
              <w:top w:val="single" w:sz="8" w:space="0" w:color="auto"/>
            </w:tcBorders>
          </w:tcPr>
          <w:p w14:paraId="797A3312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15.73</w:t>
            </w:r>
          </w:p>
        </w:tc>
      </w:tr>
      <w:tr w:rsidR="00134700" w:rsidRPr="00FA75AB" w14:paraId="60709F44" w14:textId="77777777" w:rsidTr="008769B7">
        <w:tc>
          <w:tcPr>
            <w:tcW w:w="2155" w:type="dxa"/>
          </w:tcPr>
          <w:p w14:paraId="680A94FA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Year 2: 2013</w:t>
            </w:r>
          </w:p>
        </w:tc>
        <w:tc>
          <w:tcPr>
            <w:tcW w:w="1798" w:type="dxa"/>
          </w:tcPr>
          <w:p w14:paraId="790232DA" w14:textId="77777777" w:rsidR="00134700" w:rsidRPr="00FA75AB" w:rsidRDefault="00134700" w:rsidP="00AF3464">
            <w:pPr>
              <w:pStyle w:val="Table"/>
            </w:pPr>
            <w:r w:rsidRPr="00FA75AB">
              <w:t>72.31</w:t>
            </w:r>
          </w:p>
        </w:tc>
        <w:tc>
          <w:tcPr>
            <w:tcW w:w="1799" w:type="dxa"/>
          </w:tcPr>
          <w:p w14:paraId="6465D4F2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14.93</w:t>
            </w:r>
          </w:p>
        </w:tc>
        <w:tc>
          <w:tcPr>
            <w:tcW w:w="1799" w:type="dxa"/>
          </w:tcPr>
          <w:p w14:paraId="31A73C94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32.55</w:t>
            </w:r>
          </w:p>
        </w:tc>
        <w:tc>
          <w:tcPr>
            <w:tcW w:w="1799" w:type="dxa"/>
          </w:tcPr>
          <w:p w14:paraId="77CBCC7C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15.96</w:t>
            </w:r>
          </w:p>
        </w:tc>
      </w:tr>
      <w:tr w:rsidR="00134700" w:rsidRPr="00FA75AB" w14:paraId="220A7556" w14:textId="77777777" w:rsidTr="008769B7">
        <w:tc>
          <w:tcPr>
            <w:tcW w:w="2155" w:type="dxa"/>
            <w:tcBorders>
              <w:bottom w:val="single" w:sz="8" w:space="0" w:color="auto"/>
            </w:tcBorders>
          </w:tcPr>
          <w:p w14:paraId="5B9AD509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Year 3: 2014</w:t>
            </w:r>
          </w:p>
        </w:tc>
        <w:tc>
          <w:tcPr>
            <w:tcW w:w="1798" w:type="dxa"/>
            <w:tcBorders>
              <w:bottom w:val="single" w:sz="8" w:space="0" w:color="auto"/>
            </w:tcBorders>
          </w:tcPr>
          <w:p w14:paraId="5DEB923C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47.18</w:t>
            </w: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3155EB14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20.11</w:t>
            </w: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48282B97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41.60</w:t>
            </w: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481D2B14" w14:textId="77777777" w:rsidR="00134700" w:rsidRPr="00FA75AB" w:rsidRDefault="00134700" w:rsidP="008769B7">
            <w:pPr>
              <w:tabs>
                <w:tab w:val="clear" w:pos="3068"/>
              </w:tabs>
              <w:spacing w:after="160" w:line="259" w:lineRule="auto"/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FA75AB">
              <w:rPr>
                <w:rFonts w:asciiTheme="minorHAnsi" w:hAnsiTheme="minorHAnsi" w:cstheme="minorHAnsi"/>
                <w:szCs w:val="22"/>
              </w:rPr>
              <w:t>18.23</w:t>
            </w:r>
          </w:p>
        </w:tc>
      </w:tr>
    </w:tbl>
    <w:p w14:paraId="5AC641CE" w14:textId="77777777" w:rsidR="00B40BBE" w:rsidRPr="00ED4391" w:rsidRDefault="00A25CAE" w:rsidP="00236E04">
      <w:pPr>
        <w:tabs>
          <w:tab w:val="clear" w:pos="3068"/>
        </w:tabs>
        <w:ind w:firstLine="0"/>
        <w:rPr>
          <w:rFonts w:asciiTheme="majorBidi" w:hAnsiTheme="majorBidi" w:cstheme="majorBidi"/>
          <w:szCs w:val="22"/>
        </w:rPr>
      </w:pPr>
      <w:r w:rsidRPr="00ED4391">
        <w:rPr>
          <w:rFonts w:asciiTheme="majorBidi" w:hAnsiTheme="majorBidi" w:cstheme="majorBidi"/>
          <w:i/>
          <w:szCs w:val="22"/>
        </w:rPr>
        <w:t>Note.</w:t>
      </w:r>
      <w:r w:rsidRPr="00ED4391">
        <w:rPr>
          <w:rFonts w:asciiTheme="majorBidi" w:hAnsiTheme="majorBidi" w:cstheme="majorBidi"/>
          <w:szCs w:val="22"/>
        </w:rPr>
        <w:t xml:space="preserve"> </w:t>
      </w:r>
      <w:r w:rsidR="007F2410" w:rsidRPr="00ED4391">
        <w:rPr>
          <w:rFonts w:asciiTheme="majorBidi" w:hAnsiTheme="majorBidi" w:cstheme="majorBidi"/>
          <w:szCs w:val="22"/>
        </w:rPr>
        <w:t xml:space="preserve">Student evaluations of teaching (SETs) </w:t>
      </w:r>
      <w:r w:rsidRPr="00ED4391">
        <w:rPr>
          <w:rFonts w:asciiTheme="majorBidi" w:hAnsiTheme="majorBidi" w:cstheme="majorBidi"/>
          <w:szCs w:val="22"/>
        </w:rPr>
        <w:t>were administered in two modalities in Years 1 and 2</w:t>
      </w:r>
      <w:r w:rsidR="006274E0" w:rsidRPr="00ED4391">
        <w:rPr>
          <w:rFonts w:asciiTheme="majorBidi" w:hAnsiTheme="majorBidi" w:cstheme="majorBidi"/>
          <w:szCs w:val="22"/>
        </w:rPr>
        <w:t>:</w:t>
      </w:r>
      <w:r w:rsidRPr="00ED4391">
        <w:rPr>
          <w:rFonts w:asciiTheme="majorBidi" w:hAnsiTheme="majorBidi" w:cstheme="majorBidi"/>
          <w:szCs w:val="22"/>
        </w:rPr>
        <w:t xml:space="preserve"> paper</w:t>
      </w:r>
      <w:r w:rsidR="006274E0" w:rsidRPr="00ED4391">
        <w:rPr>
          <w:rFonts w:asciiTheme="majorBidi" w:hAnsiTheme="majorBidi" w:cstheme="majorBidi"/>
          <w:szCs w:val="22"/>
        </w:rPr>
        <w:t xml:space="preserve"> </w:t>
      </w:r>
      <w:r w:rsidRPr="00ED4391">
        <w:rPr>
          <w:rFonts w:asciiTheme="majorBidi" w:hAnsiTheme="majorBidi" w:cstheme="majorBidi"/>
          <w:szCs w:val="22"/>
        </w:rPr>
        <w:t xml:space="preserve">based </w:t>
      </w:r>
      <w:r w:rsidR="00EB785F" w:rsidRPr="00ED4391">
        <w:rPr>
          <w:rFonts w:asciiTheme="majorBidi" w:hAnsiTheme="majorBidi" w:cstheme="majorBidi"/>
          <w:szCs w:val="22"/>
        </w:rPr>
        <w:t>f</w:t>
      </w:r>
      <w:r w:rsidRPr="00ED4391">
        <w:rPr>
          <w:rFonts w:asciiTheme="majorBidi" w:hAnsiTheme="majorBidi" w:cstheme="majorBidi"/>
          <w:szCs w:val="22"/>
        </w:rPr>
        <w:t>or face-to-face courses and online for online courses. SETs were administered on</w:t>
      </w:r>
      <w:r w:rsidR="006274E0" w:rsidRPr="00ED4391">
        <w:rPr>
          <w:rFonts w:asciiTheme="majorBidi" w:hAnsiTheme="majorBidi" w:cstheme="majorBidi"/>
          <w:szCs w:val="22"/>
        </w:rPr>
        <w:t>line for all courses in Year 3.</w:t>
      </w:r>
      <w:r w:rsidR="00B40BBE" w:rsidRPr="00ED4391">
        <w:rPr>
          <w:rFonts w:asciiTheme="majorBidi" w:hAnsiTheme="majorBidi" w:cstheme="majorBidi"/>
          <w:szCs w:val="22"/>
        </w:rPr>
        <w:br w:type="page"/>
      </w:r>
    </w:p>
    <w:p w14:paraId="02D77440" w14:textId="77777777" w:rsidR="00B40BBE" w:rsidRPr="00ED4391" w:rsidRDefault="00B40BBE" w:rsidP="00526416">
      <w:pPr>
        <w:pStyle w:val="ImageCaption"/>
      </w:pPr>
      <w:r w:rsidRPr="00ED4391">
        <w:lastRenderedPageBreak/>
        <w:t>Figure 1</w:t>
      </w:r>
    </w:p>
    <w:p w14:paraId="1E936AC2" w14:textId="77777777" w:rsidR="00B40BBE" w:rsidRPr="006C1D98" w:rsidRDefault="00B40BBE" w:rsidP="006C1D98">
      <w:pPr>
        <w:pStyle w:val="ImageCaption"/>
        <w:rPr>
          <w:b w:val="0"/>
          <w:i/>
        </w:rPr>
      </w:pPr>
      <w:r w:rsidRPr="006C1D98">
        <w:rPr>
          <w:b w:val="0"/>
          <w:i/>
        </w:rPr>
        <w:t>Scatterplot Depicting the Correlation Between Response Rate</w:t>
      </w:r>
      <w:r w:rsidR="001D7F11" w:rsidRPr="006C1D98">
        <w:rPr>
          <w:b w:val="0"/>
          <w:i/>
        </w:rPr>
        <w:t>s</w:t>
      </w:r>
      <w:r w:rsidRPr="006C1D98">
        <w:rPr>
          <w:b w:val="0"/>
          <w:i/>
        </w:rPr>
        <w:t xml:space="preserve"> and Evaluation Ratings </w:t>
      </w:r>
    </w:p>
    <w:p w14:paraId="18734E1A" w14:textId="77777777" w:rsidR="00E102C3" w:rsidRPr="00ED4391" w:rsidRDefault="00B40BBE" w:rsidP="00B40BBE">
      <w:pPr>
        <w:ind w:left="720" w:hanging="720"/>
        <w:rPr>
          <w:rFonts w:asciiTheme="majorBidi" w:hAnsiTheme="majorBidi" w:cstheme="majorBidi"/>
          <w:szCs w:val="22"/>
        </w:rPr>
      </w:pPr>
      <w:r w:rsidRPr="00ED4391">
        <w:rPr>
          <w:rFonts w:asciiTheme="majorBidi" w:hAnsiTheme="majorBidi" w:cstheme="majorBidi"/>
          <w:noProof/>
          <w:szCs w:val="22"/>
        </w:rPr>
        <w:drawing>
          <wp:inline distT="0" distB="0" distL="0" distR="0" wp14:anchorId="6D8392C8" wp14:editId="6BA2F06D">
            <wp:extent cx="5255895" cy="3140710"/>
            <wp:effectExtent l="0" t="0" r="1905" b="2540"/>
            <wp:docPr id="2" name="Picture 2" descr="Figure 1. A scatterplot depicting the correlation between response rate and evaluation ratings during the 2014 Fall academic ter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1. A scatterplot depicting the correlation between response rate and evaluation ratings during the 2014 Fall academic term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9B7" w14:textId="77777777" w:rsidR="00E102C3" w:rsidRPr="00ED4391" w:rsidRDefault="00955FD6" w:rsidP="00F129E3">
      <w:pPr>
        <w:ind w:left="720" w:hanging="720"/>
        <w:rPr>
          <w:rFonts w:asciiTheme="majorBidi" w:hAnsiTheme="majorBidi" w:cstheme="majorBidi"/>
          <w:szCs w:val="22"/>
        </w:rPr>
      </w:pPr>
      <w:r w:rsidRPr="00ED4391">
        <w:rPr>
          <w:rFonts w:asciiTheme="majorBidi" w:hAnsiTheme="majorBidi" w:cstheme="majorBidi"/>
          <w:i/>
          <w:szCs w:val="22"/>
        </w:rPr>
        <w:t xml:space="preserve">Note. </w:t>
      </w:r>
      <w:r w:rsidRPr="00ED4391">
        <w:rPr>
          <w:rFonts w:asciiTheme="majorBidi" w:hAnsiTheme="majorBidi" w:cstheme="majorBidi"/>
          <w:szCs w:val="22"/>
        </w:rPr>
        <w:t>Evaluation ratings were made during the 2014 fall academic term.</w:t>
      </w:r>
    </w:p>
    <w:sectPr w:rsidR="00E102C3" w:rsidRPr="00ED439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C2581" w14:textId="77777777" w:rsidR="00A66E09" w:rsidRDefault="00A66E09" w:rsidP="00E102C3">
      <w:r>
        <w:separator/>
      </w:r>
    </w:p>
    <w:p w14:paraId="2957AB8B" w14:textId="77777777" w:rsidR="00A66E09" w:rsidRDefault="00A66E09" w:rsidP="00E102C3"/>
  </w:endnote>
  <w:endnote w:type="continuationSeparator" w:id="0">
    <w:p w14:paraId="374A2FED" w14:textId="77777777" w:rsidR="00A66E09" w:rsidRDefault="00A66E09" w:rsidP="00E102C3">
      <w:r>
        <w:continuationSeparator/>
      </w:r>
    </w:p>
    <w:p w14:paraId="341D7A27" w14:textId="77777777" w:rsidR="00A66E09" w:rsidRDefault="00A66E09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536B6" w14:textId="77777777" w:rsidR="0090111B" w:rsidRDefault="009011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C8692" w14:textId="77777777" w:rsidR="0090111B" w:rsidRDefault="0090111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0D817" w14:textId="77777777" w:rsidR="0090111B" w:rsidRDefault="009011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E637B" w14:textId="77777777" w:rsidR="00A66E09" w:rsidRDefault="00A66E09" w:rsidP="00E102C3">
      <w:r>
        <w:separator/>
      </w:r>
    </w:p>
    <w:p w14:paraId="286B5674" w14:textId="77777777" w:rsidR="00A66E09" w:rsidRDefault="00A66E09" w:rsidP="00E102C3"/>
  </w:footnote>
  <w:footnote w:type="continuationSeparator" w:id="0">
    <w:p w14:paraId="1313EDA1" w14:textId="77777777" w:rsidR="00A66E09" w:rsidRDefault="00A66E09" w:rsidP="00E102C3">
      <w:r>
        <w:continuationSeparator/>
      </w:r>
    </w:p>
    <w:p w14:paraId="7E900743" w14:textId="77777777" w:rsidR="00A66E09" w:rsidRDefault="00A66E09" w:rsidP="00E102C3"/>
  </w:footnote>
  <w:footnote w:id="1">
    <w:p w14:paraId="6F6BE5E1" w14:textId="78764D9C" w:rsidR="003E76E3" w:rsidRPr="00FA75AB" w:rsidRDefault="003E76E3" w:rsidP="003E76E3">
      <w:pPr>
        <w:pStyle w:val="Funotentext"/>
        <w:rPr>
          <w:rFonts w:asciiTheme="minorHAnsi" w:hAnsiTheme="minorHAnsi" w:cstheme="minorHAnsi"/>
        </w:rPr>
      </w:pPr>
      <w:r w:rsidRPr="00FA75AB">
        <w:rPr>
          <w:rStyle w:val="Funotenzeichen"/>
          <w:rFonts w:asciiTheme="minorHAnsi" w:hAnsiTheme="minorHAnsi" w:cstheme="minorHAnsi"/>
        </w:rPr>
        <w:footnoteRef/>
      </w:r>
      <w:r w:rsidRPr="00FA75A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732D5" w14:textId="77777777" w:rsidR="0090111B" w:rsidRDefault="009011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Bidi" w:hAnsiTheme="majorBidi" w:cstheme="majorBid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45EF2091" w:rsidR="00EC63D6" w:rsidRPr="00ED4391" w:rsidRDefault="00EC63D6" w:rsidP="0090111B">
        <w:pPr>
          <w:pStyle w:val="Kopfzeile"/>
          <w:ind w:firstLine="0"/>
          <w:jc w:val="right"/>
          <w:rPr>
            <w:rFonts w:asciiTheme="majorBidi" w:hAnsiTheme="majorBidi" w:cstheme="majorBidi"/>
            <w:szCs w:val="22"/>
          </w:rPr>
        </w:pPr>
        <w:r w:rsidRPr="00ED4391">
          <w:rPr>
            <w:rFonts w:asciiTheme="majorBidi" w:hAnsiTheme="majorBidi" w:cstheme="majorBidi"/>
            <w:szCs w:val="22"/>
          </w:rPr>
          <w:tab/>
        </w:r>
        <w:r w:rsidR="0090111B" w:rsidRPr="00ED4391">
          <w:rPr>
            <w:rFonts w:asciiTheme="majorBidi" w:hAnsiTheme="majorBidi" w:cstheme="majorBidi"/>
            <w:szCs w:val="22"/>
          </w:rPr>
          <w:tab/>
        </w:r>
        <w:r w:rsidR="0090111B" w:rsidRPr="00ED4391">
          <w:rPr>
            <w:rFonts w:asciiTheme="majorBidi" w:hAnsiTheme="majorBidi" w:cstheme="majorBidi"/>
            <w:szCs w:val="22"/>
          </w:rPr>
          <w:tab/>
        </w:r>
        <w:r w:rsidRPr="00ED4391">
          <w:rPr>
            <w:rFonts w:asciiTheme="majorBidi" w:hAnsiTheme="majorBidi" w:cstheme="majorBidi"/>
            <w:szCs w:val="22"/>
          </w:rPr>
          <w:fldChar w:fldCharType="begin"/>
        </w:r>
        <w:r w:rsidRPr="00ED4391">
          <w:rPr>
            <w:rFonts w:asciiTheme="majorBidi" w:hAnsiTheme="majorBidi" w:cstheme="majorBidi"/>
            <w:szCs w:val="22"/>
          </w:rPr>
          <w:instrText xml:space="preserve"> PAGE   \* MERGEFORMAT </w:instrText>
        </w:r>
        <w:r w:rsidRPr="00ED4391">
          <w:rPr>
            <w:rFonts w:asciiTheme="majorBidi" w:hAnsiTheme="majorBidi" w:cstheme="majorBidi"/>
            <w:szCs w:val="22"/>
          </w:rPr>
          <w:fldChar w:fldCharType="separate"/>
        </w:r>
        <w:r w:rsidR="003649CB" w:rsidRPr="00ED4391">
          <w:rPr>
            <w:rFonts w:asciiTheme="majorBidi" w:hAnsiTheme="majorBidi" w:cstheme="majorBidi"/>
            <w:noProof/>
            <w:szCs w:val="22"/>
          </w:rPr>
          <w:t>19</w:t>
        </w:r>
        <w:r w:rsidRPr="00ED4391">
          <w:rPr>
            <w:rFonts w:asciiTheme="majorBidi" w:hAnsiTheme="majorBidi" w:cstheme="majorBidi"/>
            <w:noProof/>
            <w:szCs w:val="22"/>
          </w:rPr>
          <w:fldChar w:fldCharType="end"/>
        </w:r>
      </w:p>
    </w:sdtContent>
  </w:sdt>
  <w:p w14:paraId="4676793A" w14:textId="77777777" w:rsidR="00EC63D6" w:rsidRPr="00ED4391" w:rsidRDefault="00EC63D6" w:rsidP="00E102C3">
    <w:pPr>
      <w:pStyle w:val="Kopfzeile"/>
      <w:rPr>
        <w:rFonts w:asciiTheme="majorBidi" w:hAnsiTheme="majorBidi" w:cstheme="majorBid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3674" w14:textId="77777777" w:rsidR="0090111B" w:rsidRDefault="009011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oNotTrackFormatting/>
  <w:defaultTabStop w:val="720"/>
  <w:hyphenationZone w:val="425"/>
  <w:defaultTableStyle w:val="Tabellenraster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23F33"/>
    <w:rsid w:val="000251D5"/>
    <w:rsid w:val="00073180"/>
    <w:rsid w:val="00076281"/>
    <w:rsid w:val="0008031E"/>
    <w:rsid w:val="00092D49"/>
    <w:rsid w:val="0009623B"/>
    <w:rsid w:val="000A5A29"/>
    <w:rsid w:val="000A7152"/>
    <w:rsid w:val="000E0616"/>
    <w:rsid w:val="00103A39"/>
    <w:rsid w:val="00120A65"/>
    <w:rsid w:val="001263C3"/>
    <w:rsid w:val="00132939"/>
    <w:rsid w:val="00134700"/>
    <w:rsid w:val="00167F5B"/>
    <w:rsid w:val="0017154C"/>
    <w:rsid w:val="001A6792"/>
    <w:rsid w:val="001C2344"/>
    <w:rsid w:val="001D7E4F"/>
    <w:rsid w:val="001D7F11"/>
    <w:rsid w:val="001F4777"/>
    <w:rsid w:val="00203AA4"/>
    <w:rsid w:val="00213D88"/>
    <w:rsid w:val="0021772D"/>
    <w:rsid w:val="00222A35"/>
    <w:rsid w:val="00223F0B"/>
    <w:rsid w:val="002272D2"/>
    <w:rsid w:val="00236E04"/>
    <w:rsid w:val="002443EB"/>
    <w:rsid w:val="00290C63"/>
    <w:rsid w:val="0029125E"/>
    <w:rsid w:val="002C18D1"/>
    <w:rsid w:val="002E4FFA"/>
    <w:rsid w:val="002F5057"/>
    <w:rsid w:val="00304AE7"/>
    <w:rsid w:val="00322A54"/>
    <w:rsid w:val="00333F30"/>
    <w:rsid w:val="00340295"/>
    <w:rsid w:val="00342C89"/>
    <w:rsid w:val="00357698"/>
    <w:rsid w:val="003649CB"/>
    <w:rsid w:val="00365ACF"/>
    <w:rsid w:val="00374868"/>
    <w:rsid w:val="003A04A3"/>
    <w:rsid w:val="003A71C8"/>
    <w:rsid w:val="003C5C48"/>
    <w:rsid w:val="003E76E3"/>
    <w:rsid w:val="003F1DC5"/>
    <w:rsid w:val="00416392"/>
    <w:rsid w:val="004172EC"/>
    <w:rsid w:val="00477945"/>
    <w:rsid w:val="00486B99"/>
    <w:rsid w:val="004B20CE"/>
    <w:rsid w:val="004B274A"/>
    <w:rsid w:val="004D01F1"/>
    <w:rsid w:val="004D3387"/>
    <w:rsid w:val="004E6B89"/>
    <w:rsid w:val="004F63CE"/>
    <w:rsid w:val="0051642E"/>
    <w:rsid w:val="00520B4B"/>
    <w:rsid w:val="00526416"/>
    <w:rsid w:val="00582191"/>
    <w:rsid w:val="005922A9"/>
    <w:rsid w:val="005C4840"/>
    <w:rsid w:val="005D4500"/>
    <w:rsid w:val="005D5F0F"/>
    <w:rsid w:val="005F33C3"/>
    <w:rsid w:val="00605E2C"/>
    <w:rsid w:val="006102E6"/>
    <w:rsid w:val="006110AB"/>
    <w:rsid w:val="006117B0"/>
    <w:rsid w:val="00611E10"/>
    <w:rsid w:val="00616377"/>
    <w:rsid w:val="006274E0"/>
    <w:rsid w:val="00643113"/>
    <w:rsid w:val="00666591"/>
    <w:rsid w:val="006A474F"/>
    <w:rsid w:val="006B657A"/>
    <w:rsid w:val="006C1D98"/>
    <w:rsid w:val="006D475F"/>
    <w:rsid w:val="006E2EC8"/>
    <w:rsid w:val="00700473"/>
    <w:rsid w:val="00714A71"/>
    <w:rsid w:val="00736896"/>
    <w:rsid w:val="00750D4C"/>
    <w:rsid w:val="007617BF"/>
    <w:rsid w:val="00786191"/>
    <w:rsid w:val="00795729"/>
    <w:rsid w:val="007B4C07"/>
    <w:rsid w:val="007C0A3E"/>
    <w:rsid w:val="007C3AF9"/>
    <w:rsid w:val="007D042B"/>
    <w:rsid w:val="007D2D4E"/>
    <w:rsid w:val="007F2410"/>
    <w:rsid w:val="0080584D"/>
    <w:rsid w:val="00856ABA"/>
    <w:rsid w:val="00860780"/>
    <w:rsid w:val="00873A2C"/>
    <w:rsid w:val="00874378"/>
    <w:rsid w:val="008A49D2"/>
    <w:rsid w:val="008B549F"/>
    <w:rsid w:val="008F5999"/>
    <w:rsid w:val="0090111B"/>
    <w:rsid w:val="00901150"/>
    <w:rsid w:val="00914883"/>
    <w:rsid w:val="00914AEC"/>
    <w:rsid w:val="00955FD6"/>
    <w:rsid w:val="00966505"/>
    <w:rsid w:val="00972136"/>
    <w:rsid w:val="00984E61"/>
    <w:rsid w:val="0098563F"/>
    <w:rsid w:val="009D0BD8"/>
    <w:rsid w:val="009D3ACD"/>
    <w:rsid w:val="009E6D26"/>
    <w:rsid w:val="009E7A57"/>
    <w:rsid w:val="00A22C7D"/>
    <w:rsid w:val="00A25CAE"/>
    <w:rsid w:val="00A36D61"/>
    <w:rsid w:val="00A376D9"/>
    <w:rsid w:val="00A66E09"/>
    <w:rsid w:val="00A80790"/>
    <w:rsid w:val="00AA4A24"/>
    <w:rsid w:val="00AA5283"/>
    <w:rsid w:val="00AB3F29"/>
    <w:rsid w:val="00AC6ADA"/>
    <w:rsid w:val="00AE2151"/>
    <w:rsid w:val="00AF3464"/>
    <w:rsid w:val="00B13488"/>
    <w:rsid w:val="00B15BD1"/>
    <w:rsid w:val="00B330BC"/>
    <w:rsid w:val="00B40BBE"/>
    <w:rsid w:val="00B42005"/>
    <w:rsid w:val="00B708D8"/>
    <w:rsid w:val="00B75A7C"/>
    <w:rsid w:val="00B8771A"/>
    <w:rsid w:val="00B941B1"/>
    <w:rsid w:val="00B95776"/>
    <w:rsid w:val="00B97476"/>
    <w:rsid w:val="00BA3199"/>
    <w:rsid w:val="00BB2D3E"/>
    <w:rsid w:val="00BB41EE"/>
    <w:rsid w:val="00BB76BE"/>
    <w:rsid w:val="00BC1D76"/>
    <w:rsid w:val="00BE3F16"/>
    <w:rsid w:val="00C044E2"/>
    <w:rsid w:val="00C048E0"/>
    <w:rsid w:val="00C47B69"/>
    <w:rsid w:val="00C50B51"/>
    <w:rsid w:val="00C61A70"/>
    <w:rsid w:val="00C73377"/>
    <w:rsid w:val="00C76EAD"/>
    <w:rsid w:val="00C81D35"/>
    <w:rsid w:val="00CA1D68"/>
    <w:rsid w:val="00CA25BD"/>
    <w:rsid w:val="00CB32C3"/>
    <w:rsid w:val="00CC186E"/>
    <w:rsid w:val="00CC1F36"/>
    <w:rsid w:val="00CC7D0E"/>
    <w:rsid w:val="00CE40A4"/>
    <w:rsid w:val="00D23A8D"/>
    <w:rsid w:val="00D92B9C"/>
    <w:rsid w:val="00D93AC3"/>
    <w:rsid w:val="00DA3A02"/>
    <w:rsid w:val="00DA462A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4496B"/>
    <w:rsid w:val="00E64A41"/>
    <w:rsid w:val="00E96D00"/>
    <w:rsid w:val="00E978CD"/>
    <w:rsid w:val="00EA0278"/>
    <w:rsid w:val="00EB6B08"/>
    <w:rsid w:val="00EB785F"/>
    <w:rsid w:val="00EC63D6"/>
    <w:rsid w:val="00ED4391"/>
    <w:rsid w:val="00ED4E5F"/>
    <w:rsid w:val="00F129E3"/>
    <w:rsid w:val="00F64D47"/>
    <w:rsid w:val="00F84B01"/>
    <w:rsid w:val="00F91590"/>
    <w:rsid w:val="00FA3A11"/>
    <w:rsid w:val="00FA5BF7"/>
    <w:rsid w:val="00FA75AB"/>
    <w:rsid w:val="00FB5E42"/>
    <w:rsid w:val="00FD2F36"/>
    <w:rsid w:val="00FE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2D4E"/>
    <w:pPr>
      <w:tabs>
        <w:tab w:val="left" w:pos="3068"/>
      </w:tabs>
      <w:spacing w:after="0" w:line="480" w:lineRule="auto"/>
      <w:ind w:firstLine="720"/>
    </w:pPr>
    <w:rPr>
      <w:rFonts w:ascii="Times New Roman" w:hAnsi="Times New Roman" w:cs="Arial"/>
      <w:szCs w:val="21"/>
      <w:shd w:val="clear" w:color="auto" w:fill="FFFFF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C3"/>
  </w:style>
  <w:style w:type="paragraph" w:styleId="Fuzeile">
    <w:name w:val="footer"/>
    <w:basedOn w:val="Standard"/>
    <w:link w:val="FuzeileZchn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C3"/>
  </w:style>
  <w:style w:type="character" w:customStyle="1" w:styleId="o00408">
    <w:name w:val="o00408"/>
    <w:basedOn w:val="Absatz-Standardschriftart"/>
    <w:rsid w:val="00E102C3"/>
  </w:style>
  <w:style w:type="character" w:customStyle="1" w:styleId="s01997">
    <w:name w:val="s01997"/>
    <w:basedOn w:val="Absatz-Standardschriftart"/>
    <w:rsid w:val="00E102C3"/>
  </w:style>
  <w:style w:type="character" w:customStyle="1" w:styleId="first-table-reference">
    <w:name w:val="first-table-reference"/>
    <w:basedOn w:val="Absatz-Standardschriftart"/>
    <w:rsid w:val="00E102C3"/>
  </w:style>
  <w:style w:type="character" w:styleId="Hyperlink">
    <w:name w:val="Hyperlink"/>
    <w:basedOn w:val="Absatz-Standardschriftart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40BBE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FD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F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ellenraster">
    <w:name w:val="Table Grid"/>
    <w:aliases w:val="TABLE"/>
    <w:basedOn w:val="NormaleTabelle"/>
    <w:uiPriority w:val="39"/>
    <w:rsid w:val="005F33C3"/>
    <w:pPr>
      <w:spacing w:after="0" w:line="240" w:lineRule="auto"/>
    </w:pPr>
    <w:rPr>
      <w:rFonts w:asciiTheme="majorBidi" w:hAnsi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character" w:styleId="BesuchterLink">
    <w:name w:val="FollowedHyperlink"/>
    <w:basedOn w:val="Absatz-Standardschriftart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86E"/>
    <w:rPr>
      <w:rFonts w:cstheme="minorHAnsi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86E"/>
    <w:rPr>
      <w:rFonts w:cstheme="minorHAnsi"/>
      <w:b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86E"/>
    <w:rPr>
      <w:rFonts w:cstheme="minorHAnsi"/>
      <w:b/>
      <w:i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C186E"/>
    <w:rPr>
      <w:rFonts w:ascii="Calibri" w:hAnsi="Calibri" w:cstheme="minorHAnsi"/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C186E"/>
    <w:rPr>
      <w:rFonts w:ascii="Calibri" w:hAnsi="Calibri" w:cs="Calibri"/>
      <w:b/>
      <w:i/>
      <w:color w:val="333333"/>
    </w:rPr>
  </w:style>
  <w:style w:type="paragraph" w:styleId="Titel">
    <w:name w:val="Title"/>
    <w:aliases w:val="Title"/>
    <w:basedOn w:val="berschrift1"/>
    <w:next w:val="Standard"/>
    <w:link w:val="TitelZchn"/>
    <w:uiPriority w:val="10"/>
    <w:qFormat/>
    <w:rsid w:val="00CC186E"/>
  </w:style>
  <w:style w:type="character" w:customStyle="1" w:styleId="TitelZchn">
    <w:name w:val="Titel Zchn"/>
    <w:aliases w:val="Title Zchn"/>
    <w:basedOn w:val="Absatz-Standardschriftart"/>
    <w:link w:val="Titel"/>
    <w:uiPriority w:val="10"/>
    <w:rsid w:val="00CC186E"/>
    <w:rPr>
      <w:rFonts w:cstheme="minorHAnsi"/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paragraph" w:customStyle="1" w:styleId="Literaturverzeichnis1">
    <w:name w:val="Literaturverzeichnis1"/>
    <w:basedOn w:val="Standard"/>
    <w:link w:val="BibliographyZchn"/>
    <w:qFormat/>
    <w:rsid w:val="004D3387"/>
    <w:pPr>
      <w:tabs>
        <w:tab w:val="clear" w:pos="3068"/>
      </w:tabs>
      <w:ind w:left="720" w:hanging="720"/>
    </w:pPr>
    <w:rPr>
      <w:rFonts w:asciiTheme="minorHAnsi" w:hAnsiTheme="minorHAnsi" w:cstheme="minorHAnsi"/>
      <w:szCs w:val="22"/>
    </w:rPr>
  </w:style>
  <w:style w:type="paragraph" w:customStyle="1" w:styleId="ImageCaption">
    <w:name w:val="Image Caption"/>
    <w:basedOn w:val="Standard"/>
    <w:link w:val="ImageCaptionZchn"/>
    <w:qFormat/>
    <w:rsid w:val="006C1D98"/>
    <w:pPr>
      <w:tabs>
        <w:tab w:val="clear" w:pos="3068"/>
      </w:tabs>
      <w:ind w:left="720" w:hanging="720"/>
    </w:pPr>
    <w:rPr>
      <w:rFonts w:asciiTheme="majorBidi" w:hAnsiTheme="majorBidi" w:cstheme="majorBidi"/>
      <w:b/>
      <w:szCs w:val="22"/>
    </w:rPr>
  </w:style>
  <w:style w:type="character" w:customStyle="1" w:styleId="BibliographyZchn">
    <w:name w:val="Bibliography Zchn"/>
    <w:basedOn w:val="Absatz-Standardschriftart"/>
    <w:link w:val="Literaturverzeichnis1"/>
    <w:rsid w:val="004D3387"/>
    <w:rPr>
      <w:rFonts w:cstheme="minorHAnsi"/>
    </w:rPr>
  </w:style>
  <w:style w:type="paragraph" w:customStyle="1" w:styleId="TableCaption">
    <w:name w:val="Table Caption"/>
    <w:basedOn w:val="Standard"/>
    <w:link w:val="TableCaptionZchn"/>
    <w:qFormat/>
    <w:rsid w:val="00526416"/>
    <w:pPr>
      <w:tabs>
        <w:tab w:val="clear" w:pos="3068"/>
      </w:tabs>
      <w:ind w:left="720" w:hanging="720"/>
      <w:contextualSpacing/>
    </w:pPr>
    <w:rPr>
      <w:rFonts w:asciiTheme="majorBidi" w:hAnsiTheme="majorBidi" w:cstheme="majorBidi"/>
      <w:b/>
      <w:szCs w:val="22"/>
    </w:rPr>
  </w:style>
  <w:style w:type="character" w:customStyle="1" w:styleId="ImageCaptionZchn">
    <w:name w:val="Image Caption Zchn"/>
    <w:basedOn w:val="Absatz-Standardschriftart"/>
    <w:link w:val="ImageCaption"/>
    <w:rsid w:val="006C1D98"/>
    <w:rPr>
      <w:rFonts w:asciiTheme="majorBidi" w:hAnsiTheme="majorBidi" w:cstheme="majorBidi"/>
      <w:b/>
    </w:rPr>
  </w:style>
  <w:style w:type="paragraph" w:customStyle="1" w:styleId="Table">
    <w:name w:val="Table"/>
    <w:basedOn w:val="Standard"/>
    <w:link w:val="TableZchn"/>
    <w:qFormat/>
    <w:rsid w:val="00AF3464"/>
    <w:pPr>
      <w:tabs>
        <w:tab w:val="clear" w:pos="3068"/>
      </w:tabs>
      <w:spacing w:after="160" w:line="259" w:lineRule="auto"/>
      <w:ind w:firstLine="0"/>
      <w:jc w:val="center"/>
    </w:pPr>
    <w:rPr>
      <w:rFonts w:asciiTheme="majorBidi" w:hAnsiTheme="majorBidi" w:cstheme="majorBidi"/>
      <w:szCs w:val="22"/>
    </w:rPr>
  </w:style>
  <w:style w:type="character" w:customStyle="1" w:styleId="TableCaptionZchn">
    <w:name w:val="Table Caption Zchn"/>
    <w:basedOn w:val="Absatz-Standardschriftart"/>
    <w:link w:val="TableCaption"/>
    <w:rsid w:val="00526416"/>
    <w:rPr>
      <w:rFonts w:asciiTheme="majorBidi" w:hAnsiTheme="majorBidi" w:cstheme="majorBidi"/>
      <w:b/>
    </w:rPr>
  </w:style>
  <w:style w:type="paragraph" w:customStyle="1" w:styleId="Author">
    <w:name w:val="Author"/>
    <w:basedOn w:val="Standard"/>
    <w:link w:val="AuthorZchn"/>
    <w:rsid w:val="00DA3A02"/>
    <w:pPr>
      <w:tabs>
        <w:tab w:val="clear" w:pos="3068"/>
      </w:tabs>
      <w:ind w:firstLine="0"/>
      <w:jc w:val="center"/>
    </w:pPr>
    <w:rPr>
      <w:rFonts w:asciiTheme="majorBidi" w:hAnsiTheme="majorBidi" w:cstheme="majorBidi"/>
      <w:szCs w:val="22"/>
    </w:rPr>
  </w:style>
  <w:style w:type="character" w:customStyle="1" w:styleId="TableZchn">
    <w:name w:val="Table Zchn"/>
    <w:basedOn w:val="Absatz-Standardschriftart"/>
    <w:link w:val="Table"/>
    <w:rsid w:val="00AF3464"/>
    <w:rPr>
      <w:rFonts w:asciiTheme="majorBidi" w:hAnsiTheme="majorBidi" w:cstheme="majorBidi"/>
    </w:rPr>
  </w:style>
  <w:style w:type="character" w:customStyle="1" w:styleId="AuthorZchn">
    <w:name w:val="Author Zchn"/>
    <w:basedOn w:val="Absatz-Standardschriftart"/>
    <w:link w:val="Author"/>
    <w:rsid w:val="00DA3A02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200/JECE.37.1.21-37" TargetMode="External"/><Relationship Id="rId13" Type="http://schemas.openxmlformats.org/officeDocument/2006/relationships/hyperlink" Target="https://doi.org/10.1080/02602930410001689171" TargetMode="External"/><Relationship Id="rId18" Type="http://schemas.openxmlformats.org/officeDocument/2006/relationships/hyperlink" Target="https://doi.org/10.1007/s10755-016-9368-5" TargetMode="External"/><Relationship Id="rId26" Type="http://schemas.openxmlformats.org/officeDocument/2006/relationships/hyperlink" Target="https://doi.org/10.1080/02602938.2014.956684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doi.org/10.1080/02602930701293231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08832320209599691" TargetMode="External"/><Relationship Id="rId17" Type="http://schemas.openxmlformats.org/officeDocument/2006/relationships/hyperlink" Target="https://doi.org/10.1037/stl0000052" TargetMode="External"/><Relationship Id="rId25" Type="http://schemas.openxmlformats.org/officeDocument/2006/relationships/hyperlink" Target="https://doi.org/10.3102/0034654313496870" TargetMode="External"/><Relationship Id="rId33" Type="http://schemas.microsoft.com/office/2007/relationships/hdphoto" Target="media/hdphoto1.wdp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080/02602938.2013.831809" TargetMode="External"/><Relationship Id="rId20" Type="http://schemas.openxmlformats.org/officeDocument/2006/relationships/hyperlink" Target="https://doi.org/10.1080/02602930902862875" TargetMode="External"/><Relationship Id="rId29" Type="http://schemas.openxmlformats.org/officeDocument/2006/relationships/hyperlink" Target="https://doi.org/10.1037/h0031322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0/02602938.2013.860950" TargetMode="External"/><Relationship Id="rId24" Type="http://schemas.openxmlformats.org/officeDocument/2006/relationships/hyperlink" Target="https://doi.org/10.1080/02602938.2014.890695" TargetMode="External"/><Relationship Id="rId32" Type="http://schemas.openxmlformats.org/officeDocument/2006/relationships/image" Target="media/image1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7/CBO9780511808098" TargetMode="External"/><Relationship Id="rId23" Type="http://schemas.openxmlformats.org/officeDocument/2006/relationships/hyperlink" Target="https://doi.org/10.1002/au.222" TargetMode="External"/><Relationship Id="rId28" Type="http://schemas.openxmlformats.org/officeDocument/2006/relationships/hyperlink" Target="https://doi.org/10.1080/02602938.2010.545869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oi.org/10.1037/stl0000017" TargetMode="External"/><Relationship Id="rId19" Type="http://schemas.openxmlformats.org/officeDocument/2006/relationships/hyperlink" Target="https://doi.org/10.1080/02602931003632399" TargetMode="External"/><Relationship Id="rId31" Type="http://schemas.openxmlformats.org/officeDocument/2006/relationships/hyperlink" Target="https://doi.org/10.1080/026029308026183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37/stl0000042" TargetMode="External"/><Relationship Id="rId14" Type="http://schemas.openxmlformats.org/officeDocument/2006/relationships/hyperlink" Target="https://doi.org/10.1080/02602938.2016.1261083" TargetMode="External"/><Relationship Id="rId22" Type="http://schemas.openxmlformats.org/officeDocument/2006/relationships/hyperlink" Target="https://doi.org/10.1002/tia2.20004" TargetMode="External"/><Relationship Id="rId27" Type="http://schemas.openxmlformats.org/officeDocument/2006/relationships/hyperlink" Target="https://doi.org/10.14293/S2199-1006.1.SOR-EDU.AOFRQA.v1" TargetMode="External"/><Relationship Id="rId30" Type="http://schemas.openxmlformats.org/officeDocument/2006/relationships/hyperlink" Target="https://doi.org/10.1016/j.stueduc.2016.08.007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Gerit Wagner</cp:lastModifiedBy>
  <cp:revision>29</cp:revision>
  <dcterms:created xsi:type="dcterms:W3CDTF">2019-07-23T00:35:00Z</dcterms:created>
  <dcterms:modified xsi:type="dcterms:W3CDTF">2020-11-26T09:55:00Z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MIS Quarterly</vt:lpwstr>
  </property>
</Properties>
</file>