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6FF" w:rsidRDefault="00840548" w:rsidP="006E64D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05A41">
        <w:rPr>
          <w:rFonts w:asciiTheme="majorBidi" w:hAnsiTheme="majorBidi" w:cstheme="majorBidi"/>
          <w:b/>
          <w:bCs/>
          <w:sz w:val="24"/>
          <w:szCs w:val="24"/>
        </w:rPr>
        <w:t xml:space="preserve">Stein von Rosette: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Textversion </w:t>
      </w:r>
      <w:r w:rsidR="00B9354A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6E64D8">
        <w:rPr>
          <w:rFonts w:asciiTheme="majorBidi" w:hAnsiTheme="majorBidi" w:cstheme="majorBidi"/>
          <w:b/>
          <w:bCs/>
          <w:sz w:val="24"/>
          <w:szCs w:val="24"/>
        </w:rPr>
        <w:t>Hieroglyphisch</w:t>
      </w:r>
      <w:r w:rsidR="00B9354A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  <w:r>
        <w:rPr>
          <w:rFonts w:asciiTheme="majorBidi" w:hAnsiTheme="majorBidi" w:cstheme="majorBidi"/>
          <w:b/>
          <w:bCs/>
          <w:sz w:val="24"/>
          <w:szCs w:val="24"/>
        </w:rPr>
        <w:t>für iAligner (JH)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6945"/>
        <w:gridCol w:w="6457"/>
      </w:tblGrid>
      <w:tr w:rsidR="00840548" w:rsidRPr="00840548" w:rsidTr="0042318A">
        <w:tc>
          <w:tcPr>
            <w:tcW w:w="1101" w:type="dxa"/>
          </w:tcPr>
          <w:p w:rsidR="00840548" w:rsidRPr="00840548" w:rsidRDefault="006E64D8" w:rsidP="008405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Zeile</w:t>
            </w:r>
          </w:p>
        </w:tc>
        <w:tc>
          <w:tcPr>
            <w:tcW w:w="6945" w:type="dxa"/>
          </w:tcPr>
          <w:p w:rsidR="00840548" w:rsidRPr="00840548" w:rsidRDefault="006E64D8" w:rsidP="008405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Transkription</w:t>
            </w:r>
          </w:p>
        </w:tc>
        <w:tc>
          <w:tcPr>
            <w:tcW w:w="6457" w:type="dxa"/>
          </w:tcPr>
          <w:p w:rsidR="00840548" w:rsidRPr="00840548" w:rsidRDefault="006E64D8" w:rsidP="0084054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Übersetzung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6E64D8" w:rsidP="0084054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x+1</w:t>
            </w:r>
          </w:p>
        </w:tc>
        <w:tc>
          <w:tcPr>
            <w:tcW w:w="6945" w:type="dxa"/>
          </w:tcPr>
          <w:p w:rsidR="00840548" w:rsidRPr="00840548" w:rsidRDefault="006E64D8" w:rsidP="00F533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[…] [sbi.</w:t>
            </w:r>
            <w:r w:rsidRPr="00546FFF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Pr="00C25E46">
              <w:rPr>
                <w:rFonts w:asciiTheme="majorBidi" w:hAnsiTheme="majorBidi" w:cstheme="majorBidi"/>
                <w:sz w:val="24"/>
                <w:szCs w:val="24"/>
              </w:rPr>
              <w:t>] [i]sk</w:t>
            </w:r>
            <w:r w:rsidRPr="00546FFF">
              <w:rPr>
                <w:rFonts w:asciiTheme="majorBidi" w:hAnsiTheme="majorBidi" w:cstheme="majorBidi"/>
                <w:sz w:val="24"/>
                <w:szCs w:val="24"/>
              </w:rPr>
              <w:t xml:space="preserve"> ḏdb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546FFF">
              <w:rPr>
                <w:rFonts w:asciiTheme="majorBidi" w:hAnsiTheme="majorBidi" w:cstheme="majorBidi"/>
                <w:sz w:val="24"/>
                <w:szCs w:val="24"/>
              </w:rPr>
              <w:t>w mš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ˁ w</w:t>
            </w:r>
            <w:r w:rsidRPr="00546FFF">
              <w:rPr>
                <w:rFonts w:asciiTheme="majorBidi" w:hAnsiTheme="majorBidi" w:cstheme="majorBidi"/>
                <w:sz w:val="24"/>
                <w:szCs w:val="24"/>
              </w:rPr>
              <w:t>n=s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&lt;</w:t>
            </w:r>
            <w:r w:rsidRPr="00546FFF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&gt;</w:t>
            </w:r>
            <w:r w:rsidRPr="00546FFF">
              <w:rPr>
                <w:rFonts w:asciiTheme="majorBidi" w:hAnsiTheme="majorBidi" w:cstheme="majorBidi"/>
                <w:sz w:val="24"/>
                <w:szCs w:val="24"/>
              </w:rPr>
              <w:t xml:space="preserve"> m tp=sn stnm=sn [t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442570">
              <w:rPr>
                <w:rFonts w:asciiTheme="majorBidi" w:hAnsiTheme="majorBidi" w:cstheme="majorBidi"/>
                <w:sz w:val="24"/>
                <w:szCs w:val="24"/>
              </w:rPr>
              <w:t>ˀ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546FFF">
              <w:rPr>
                <w:rFonts w:asciiTheme="majorBidi" w:hAnsiTheme="majorBidi" w:cstheme="majorBidi"/>
                <w:sz w:val="24"/>
                <w:szCs w:val="24"/>
              </w:rPr>
              <w:t>]š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.w thj (?)=sn i</w:t>
            </w:r>
            <w:r w:rsidRPr="00546FFF">
              <w:rPr>
                <w:rFonts w:asciiTheme="majorBidi" w:hAnsiTheme="majorBidi" w:cstheme="majorBidi"/>
                <w:sz w:val="24"/>
                <w:szCs w:val="24"/>
              </w:rPr>
              <w:t>db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546FFF">
              <w:rPr>
                <w:rFonts w:asciiTheme="majorBidi" w:hAnsiTheme="majorBidi" w:cstheme="majorBidi"/>
                <w:sz w:val="24"/>
                <w:szCs w:val="24"/>
              </w:rPr>
              <w:t>w-Ḥr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[…]</w:t>
            </w:r>
          </w:p>
        </w:tc>
        <w:tc>
          <w:tcPr>
            <w:tcW w:w="6457" w:type="dxa"/>
          </w:tcPr>
          <w:p w:rsidR="00840548" w:rsidRPr="00840548" w:rsidRDefault="006E64D8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[…] [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die Feinde] hatten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n[un]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Truppen versammelt und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sie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waren an ihrer Spitze, sie führten die Gaue in die Irre und schädigten die Horus-Länder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[…]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6E64D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x+2</w:t>
            </w:r>
          </w:p>
        </w:tc>
        <w:tc>
          <w:tcPr>
            <w:tcW w:w="6945" w:type="dxa"/>
          </w:tcPr>
          <w:p w:rsidR="00840548" w:rsidRPr="006E64D8" w:rsidRDefault="006E64D8" w:rsidP="006E64D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[rdi] sn ḥm=f r tˀ mi.tt ir.w m dr n </w:t>
            </w:r>
            <w:r w:rsidRPr="00C25E46">
              <w:rPr>
                <w:rFonts w:asciiTheme="majorBidi" w:hAnsiTheme="majorBidi" w:cstheme="majorBidi"/>
                <w:sz w:val="24"/>
                <w:szCs w:val="24"/>
              </w:rPr>
              <w:t>pˀq.t rdi.t r pr-nsw wn ḫr gs.w-pr.w ḥnˁ sṯˀ mny tr n=sn nfr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.y[t r] […]</w:t>
            </w:r>
          </w:p>
        </w:tc>
        <w:tc>
          <w:tcPr>
            <w:tcW w:w="6457" w:type="dxa"/>
          </w:tcPr>
          <w:p w:rsidR="00840548" w:rsidRPr="00840548" w:rsidRDefault="006E64D8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28B">
              <w:rPr>
                <w:rFonts w:asciiTheme="majorBidi" w:hAnsiTheme="majorBidi" w:cstheme="majorBidi"/>
                <w:sz w:val="24"/>
                <w:szCs w:val="24"/>
              </w:rPr>
              <w:t>Seine Majestät [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erließ]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sie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wörtl.: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zu Boden geben),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ebenso die Byssos-Stoffe, die an das Königshaus zu Lasten der Tempel gegeben werden zusammen mit der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Differenz, die festgesetzt war für Kleidung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für sie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, bis zu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[…]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6E64D8" w:rsidP="0084054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x+3</w:t>
            </w:r>
          </w:p>
        </w:tc>
        <w:tc>
          <w:tcPr>
            <w:tcW w:w="6945" w:type="dxa"/>
          </w:tcPr>
          <w:p w:rsidR="00840548" w:rsidRPr="00840548" w:rsidRDefault="006E64D8" w:rsidP="00FE5CA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[…] </w:t>
            </w:r>
            <w:r w:rsidRPr="004B27CF">
              <w:rPr>
                <w:rFonts w:asciiTheme="majorBidi" w:hAnsiTheme="majorBidi" w:cstheme="majorBidi"/>
                <w:sz w:val="24"/>
                <w:szCs w:val="24"/>
              </w:rPr>
              <w:t>ˁw nṯ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r(.j</w:t>
            </w:r>
            <w:r w:rsidRPr="004B27CF">
              <w:rPr>
                <w:rFonts w:asciiTheme="majorBidi" w:hAnsiTheme="majorBidi" w:cstheme="majorBidi"/>
                <w:sz w:val="24"/>
                <w:szCs w:val="24"/>
              </w:rPr>
              <w:t>w)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nb(.</w:t>
            </w:r>
            <w:r w:rsidRPr="004B27CF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Pr="00C25E46">
              <w:rPr>
                <w:rFonts w:asciiTheme="majorBidi" w:hAnsiTheme="majorBidi" w:cstheme="majorBidi"/>
                <w:sz w:val="24"/>
                <w:szCs w:val="24"/>
              </w:rPr>
              <w:t>) ḫw m-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{h</w:t>
            </w:r>
            <w:r w:rsidRPr="00C25E46">
              <w:rPr>
                <w:rFonts w:asciiTheme="majorBidi" w:hAnsiTheme="majorBidi" w:cstheme="majorBidi"/>
                <w:sz w:val="24"/>
                <w:szCs w:val="24"/>
              </w:rPr>
              <w:t>rw}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25E46">
              <w:rPr>
                <w:rFonts w:asciiTheme="majorBidi" w:hAnsiTheme="majorBidi" w:cstheme="majorBidi"/>
                <w:sz w:val="24"/>
                <w:szCs w:val="24"/>
              </w:rPr>
              <w:t>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ḥ</w:t>
            </w:r>
            <w:r w:rsidRPr="00C25E46">
              <w:rPr>
                <w:rFonts w:asciiTheme="majorBidi" w:hAnsiTheme="majorBidi" w:cstheme="majorBidi"/>
                <w:sz w:val="24"/>
                <w:szCs w:val="24"/>
              </w:rPr>
              <w:t>ˀw&gt;-r ir=sn in tp.yw-ˁ ib=f ˁq ḥr sḫr.w=sn m ˀ.t nb(.t) rdi.t.n=f ḫ.t nb(.t) ḏˁr=sn r ˀb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ḏ.t=sn wr.tw ḏsr.tw iṯi.n=f sḫn im=sn r [ḥw.wt-nṯr=sn […]</w:t>
            </w:r>
          </w:p>
        </w:tc>
        <w:tc>
          <w:tcPr>
            <w:tcW w:w="6457" w:type="dxa"/>
          </w:tcPr>
          <w:p w:rsidR="00840548" w:rsidRPr="00840548" w:rsidRDefault="006E64D8" w:rsidP="00FE5C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BA1204">
              <w:rPr>
                <w:rFonts w:asciiTheme="majorBidi" w:hAnsiTheme="majorBidi" w:cstheme="majorBidi"/>
                <w:sz w:val="24"/>
                <w:szCs w:val="24"/>
              </w:rPr>
              <w:t xml:space="preserve">[…]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alle heiligen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verehrten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Tiere, mehr als das, was von den Vorfahren getan worden war. Sein Herz war auf ihr Ergehen gerichtet zu jeder Zeit. Er gab alle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Dinge, die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sie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für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die Reinigung ihres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Leib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es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wünschte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reichlich und ehrenvoll. Er brachte das, was sie betraf(?), zu [ihren] Tempeln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[…]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6E64D8" w:rsidP="0084054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x+4</w:t>
            </w:r>
          </w:p>
        </w:tc>
        <w:tc>
          <w:tcPr>
            <w:tcW w:w="6945" w:type="dxa"/>
          </w:tcPr>
          <w:p w:rsidR="00840548" w:rsidRPr="00840548" w:rsidRDefault="006E64D8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[…] ḥḏ wˀḥi wr.w ḥnˁ ḫ.t nb</w:t>
            </w:r>
            <w:r w:rsidRPr="00C25E46">
              <w:rPr>
                <w:rFonts w:asciiTheme="majorBidi" w:hAnsiTheme="majorBidi" w:cstheme="majorBidi"/>
                <w:sz w:val="24"/>
                <w:szCs w:val="24"/>
              </w:rPr>
              <w:t>(.t) mi ˁš(ˀ)=sn r ḥw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.t-sḫn n.t Ḥp ˁnḫ ḥnˁ sh̠kr in ḥm=f m kˀ.t mnḫ.t n-mˀw.t nfr.wy=s(j) m šs-mˀˁ sḫˁ.n=f Ḥp ˁnḫ r=s</w:t>
            </w:r>
          </w:p>
        </w:tc>
        <w:tc>
          <w:tcPr>
            <w:tcW w:w="6457" w:type="dxa"/>
          </w:tcPr>
          <w:p w:rsidR="00840548" w:rsidRPr="006E64D8" w:rsidRDefault="006E64D8" w:rsidP="006E64D8">
            <w:pPr>
              <w:tabs>
                <w:tab w:val="left" w:pos="508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viel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[…] Silber,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Getreide und alle Dinge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so viel ihrer sind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für das Wohnhaus des lebenden Apis;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und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es schmückte (ihn) Seine Majestät mit trefflicher Arbeit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aufs Neue - wie schön war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es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wahrhaftig! - und er ließ den lebenden Apis darin erscheinen.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6E64D8" w:rsidP="0084054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x+4a</w:t>
            </w:r>
          </w:p>
        </w:tc>
        <w:tc>
          <w:tcPr>
            <w:tcW w:w="6945" w:type="dxa"/>
          </w:tcPr>
          <w:p w:rsidR="00840548" w:rsidRPr="00840548" w:rsidRDefault="006E64D8" w:rsidP="006E64D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ˁ</w:t>
            </w:r>
            <w:r w:rsidRPr="00206631">
              <w:rPr>
                <w:rFonts w:asciiTheme="majorBidi" w:hAnsiTheme="majorBidi" w:cstheme="majorBidi"/>
                <w:sz w:val="24"/>
                <w:szCs w:val="24"/>
              </w:rPr>
              <w:t>sq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  <w:r w:rsidRPr="0020663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 w:val="24"/>
                <w:szCs w:val="24"/>
              </w:rPr>
              <w:t>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ˁ</w:t>
            </w:r>
            <w:r w:rsidRPr="00206631">
              <w:rPr>
                <w:rFonts w:asciiTheme="majorBidi" w:hAnsiTheme="majorBidi" w:cstheme="majorBidi"/>
                <w:sz w:val="24"/>
                <w:szCs w:val="24"/>
              </w:rPr>
              <w:t>rq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&gt;</w:t>
            </w:r>
            <w:r w:rsidRPr="00206631">
              <w:rPr>
                <w:rFonts w:asciiTheme="majorBidi" w:hAnsiTheme="majorBidi" w:cstheme="majorBidi"/>
                <w:sz w:val="24"/>
                <w:szCs w:val="24"/>
              </w:rPr>
              <w:t>(?).n=f ḥw.wt-nṯr ḫm.wt ḫˀw.t [m-mˀw.t] […]</w:t>
            </w:r>
          </w:p>
        </w:tc>
        <w:tc>
          <w:tcPr>
            <w:tcW w:w="6457" w:type="dxa"/>
          </w:tcPr>
          <w:p w:rsidR="00840548" w:rsidRPr="00840548" w:rsidRDefault="006E64D8" w:rsidP="006E64D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06631">
              <w:rPr>
                <w:rFonts w:asciiTheme="majorBidi" w:hAnsiTheme="majorBidi" w:cstheme="majorBidi"/>
                <w:sz w:val="24"/>
                <w:szCs w:val="24"/>
              </w:rPr>
              <w:t>Er vollendete(?) Tempel, Heil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igtümer, Altäre au[fs Neue] […]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6E64D8" w:rsidP="0084054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x+5</w:t>
            </w:r>
          </w:p>
        </w:tc>
        <w:tc>
          <w:tcPr>
            <w:tcW w:w="6945" w:type="dxa"/>
          </w:tcPr>
          <w:p w:rsidR="00840548" w:rsidRPr="00840548" w:rsidRDefault="006E64D8" w:rsidP="006856E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[…] isw nn rdi n=f nṯr.w nṯr.wt qnw nḫt </w:t>
            </w:r>
            <w:r w:rsidRPr="00A47F13">
              <w:rPr>
                <w:rFonts w:asciiTheme="majorBidi" w:hAnsiTheme="majorBidi" w:cstheme="majorBidi"/>
                <w:sz w:val="24"/>
                <w:szCs w:val="24"/>
              </w:rPr>
              <w:t>ˁ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nḫ wḏˀ s(nb) ḥnˁ ḫ.t nb(.t) nfr(.t) r-ˀw=sn r iˀw.t=f wr.t ḏd.ti h̠r=f ḥnˁ h̠rd.w=f ḏ.t</w:t>
            </w:r>
          </w:p>
        </w:tc>
        <w:tc>
          <w:tcPr>
            <w:tcW w:w="6457" w:type="dxa"/>
          </w:tcPr>
          <w:p w:rsidR="00840548" w:rsidRPr="00840548" w:rsidRDefault="006E64D8" w:rsidP="006856E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[Als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] Lohn dafür haben ihm die Götter und Göttinnen Stärke, Kraft, Leben, Heil, Gesundheit und alle guten Dinge insgesamt gegeben,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damit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sein großes Amt dauert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unter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ihm und seinen Kindern ewiglich.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6E64D8" w:rsidP="0084054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x+5-6</w:t>
            </w:r>
          </w:p>
        </w:tc>
        <w:tc>
          <w:tcPr>
            <w:tcW w:w="6945" w:type="dxa"/>
          </w:tcPr>
          <w:p w:rsidR="006E64D8" w:rsidRDefault="006E64D8" w:rsidP="006E64D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ḥnˁ sḫn nfr</w:t>
            </w:r>
          </w:p>
          <w:p w:rsidR="006E64D8" w:rsidRDefault="006E64D8" w:rsidP="006E64D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ˁq=s </w:t>
            </w:r>
            <w:r w:rsidRPr="00A47F13">
              <w:rPr>
                <w:rFonts w:asciiTheme="majorBidi" w:hAnsiTheme="majorBidi" w:cstheme="majorBidi"/>
                <w:sz w:val="24"/>
                <w:szCs w:val="24"/>
              </w:rPr>
              <w:t>m ib 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wˁb.w n.w</w:t>
            </w:r>
            <w:r w:rsidRPr="00A47F13">
              <w:rPr>
                <w:rFonts w:asciiTheme="majorBidi" w:hAnsiTheme="majorBidi" w:cstheme="majorBidi"/>
                <w:sz w:val="24"/>
                <w:szCs w:val="24"/>
              </w:rPr>
              <w:t xml:space="preserve"> itr.ti Šmˁ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.w</w:t>
            </w:r>
            <w:r w:rsidRPr="00A47F13">
              <w:rPr>
                <w:rFonts w:asciiTheme="majorBidi" w:hAnsiTheme="majorBidi" w:cstheme="majorBidi"/>
                <w:sz w:val="24"/>
                <w:szCs w:val="24"/>
              </w:rPr>
              <w:t xml:space="preserve"> Mḥ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 mi ˁš(ˀ)=sn […]</w:t>
            </w:r>
          </w:p>
          <w:p w:rsidR="006E64D8" w:rsidRDefault="006E64D8" w:rsidP="006E64D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E64D8" w:rsidRPr="00A47F13" w:rsidRDefault="006E64D8" w:rsidP="006E64D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47F13">
              <w:rPr>
                <w:rFonts w:asciiTheme="majorBidi" w:hAnsiTheme="majorBidi" w:cstheme="majorBidi"/>
                <w:sz w:val="24"/>
                <w:szCs w:val="24"/>
              </w:rPr>
              <w:t xml:space="preserve">|x+6 </w:t>
            </w:r>
            <w:r w:rsidRPr="00D127AF">
              <w:rPr>
                <w:rFonts w:asciiTheme="majorBidi" w:hAnsiTheme="majorBidi" w:cstheme="majorBidi"/>
                <w:sz w:val="24"/>
                <w:szCs w:val="24"/>
              </w:rPr>
              <w:t>[…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] s</w:t>
            </w:r>
            <w:r w:rsidRPr="00D127AF">
              <w:rPr>
                <w:rFonts w:asciiTheme="majorBidi" w:hAnsiTheme="majorBidi" w:cstheme="majorBidi"/>
                <w:sz w:val="24"/>
                <w:szCs w:val="24"/>
              </w:rPr>
              <w:t>ḫpr sn ḥnˁ nṯ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r.</w:t>
            </w:r>
            <w:r w:rsidRPr="00D127AF">
              <w:rPr>
                <w:rFonts w:asciiTheme="majorBidi" w:hAnsiTheme="majorBidi" w:cstheme="majorBidi"/>
                <w:sz w:val="24"/>
                <w:szCs w:val="24"/>
              </w:rPr>
              <w:t>w nḏ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D127AF">
              <w:rPr>
                <w:rFonts w:asciiTheme="majorBidi" w:hAnsiTheme="majorBidi" w:cstheme="majorBidi"/>
                <w:sz w:val="24"/>
                <w:szCs w:val="24"/>
              </w:rPr>
              <w:t xml:space="preserve">w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ḏfn.w n twt=sn</w:t>
            </w:r>
          </w:p>
          <w:p w:rsidR="00840548" w:rsidRPr="00840548" w:rsidRDefault="00840548" w:rsidP="006856E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7" w:type="dxa"/>
          </w:tcPr>
          <w:p w:rsidR="006E64D8" w:rsidRDefault="006E64D8" w:rsidP="006E64D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Mit gutem Zufall!</w:t>
            </w:r>
          </w:p>
          <w:p w:rsidR="006E64D8" w:rsidRDefault="006E64D8" w:rsidP="006E64D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47F13">
              <w:rPr>
                <w:rFonts w:asciiTheme="majorBidi" w:hAnsiTheme="majorBidi" w:cstheme="majorBidi"/>
                <w:sz w:val="24"/>
                <w:szCs w:val="24"/>
              </w:rPr>
              <w:t>Es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ging ins Herz der Priester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der Heiligtümer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Ober- und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Unterägyptens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so viel ihrer sind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ein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[…]</w:t>
            </w:r>
          </w:p>
          <w:p w:rsidR="00840548" w:rsidRPr="00840548" w:rsidRDefault="006E64D8" w:rsidP="006E64D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|x+6 </w:t>
            </w:r>
            <w:r w:rsidRPr="00A47F13">
              <w:rPr>
                <w:rFonts w:asciiTheme="majorBidi" w:hAnsiTheme="majorBidi" w:cstheme="majorBidi"/>
                <w:sz w:val="24"/>
                <w:szCs w:val="24"/>
              </w:rPr>
              <w:t>[…] die sie hervorgebracht haben und die Götter-Retter, ihre Vorfahren insgesamt.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6E64D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x+6</w:t>
            </w:r>
          </w:p>
        </w:tc>
        <w:tc>
          <w:tcPr>
            <w:tcW w:w="6945" w:type="dxa"/>
          </w:tcPr>
          <w:p w:rsidR="00840548" w:rsidRPr="00840548" w:rsidRDefault="006E64D8" w:rsidP="004231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mtw=tw sˁḥˁ h̠nty n nsw-bit (Ptwlmys ˁnḫ ḏ.t mr.y Ptḥ)| nṯr pri nb-nfr.w kˀ.tw rn=f (Ptwlmys)| nḏ-Bˀq.t wḥˁ=f pw (Ptlwm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</w:rPr>
              <w:t xml:space="preserve">ys)| n[ḫt]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[Km.t] […]</w:t>
            </w:r>
          </w:p>
        </w:tc>
        <w:tc>
          <w:tcPr>
            <w:tcW w:w="6457" w:type="dxa"/>
          </w:tcPr>
          <w:p w:rsidR="00840548" w:rsidRPr="00840548" w:rsidRDefault="006E64D8" w:rsidP="006856E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U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nd man soll eine Statue des Königs von Ober- und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Unterägypten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Ptolemaios, ewig lebend, geliebt von Ptah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)|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, des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erscheinenden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Gottes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(=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Epiphanes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), Herr der Wohltaten (=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Eucharistos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aufstellen, als ihren Namen nennt man: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„(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Ptolemaios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)|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Schützer Ägyptens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“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, seine Übersetzung lautet: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„(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Ptolemaios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)|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der [Ägypten] stark [macht]“ […]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6E64D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x+7</w:t>
            </w:r>
          </w:p>
        </w:tc>
        <w:tc>
          <w:tcPr>
            <w:tcW w:w="6945" w:type="dxa"/>
          </w:tcPr>
          <w:p w:rsidR="00840548" w:rsidRPr="00840548" w:rsidRDefault="006E64D8" w:rsidP="006E64D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[…] [m] rˀ-pr.w nb(.w) ḥr rn=f šms h̠nty ipn m sp 3 m h̠r.t-hrw ḥnˁ iri rdi.t dbḥ.w m-bˀḥ=sn ir.tj=sn tp-rd nb twt n kˀ=sn mi iri n nṯr.w spˀ.wt m ḥb.w tp-tr.w ḥnˁ hrw n ḫˁ ḥnˁ ˀy hrw m rn=f</w:t>
            </w:r>
          </w:p>
        </w:tc>
        <w:tc>
          <w:tcPr>
            <w:tcW w:w="6457" w:type="dxa"/>
          </w:tcPr>
          <w:p w:rsidR="00840548" w:rsidRPr="00840548" w:rsidRDefault="006E64D8" w:rsidP="006856E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[…] [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]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allen namentlich genannten Tempeln diesen Statuen dreimal täglich dienen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und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das Tempelgerät vor sie hinlegen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;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und sie werden jede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Vorschrift ausführen, die ihr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em Ka zukommt, wie man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für die Gaugötter tut an den Festen zu Beginn der Jahreszeiten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und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an den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Prozessionstagen und den genannten Tage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6E64D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x+7-8</w:t>
            </w:r>
          </w:p>
        </w:tc>
        <w:tc>
          <w:tcPr>
            <w:tcW w:w="6945" w:type="dxa"/>
          </w:tcPr>
          <w:p w:rsidR="006E64D8" w:rsidRDefault="006E64D8" w:rsidP="006E64D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mtw=tw ms sḫm ḫw n nsw-bit (Pt[wlmys …)| […]</w:t>
            </w:r>
          </w:p>
          <w:p w:rsidR="006E64D8" w:rsidRDefault="006E64D8" w:rsidP="006E64D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E64D8" w:rsidRDefault="006E64D8" w:rsidP="006E64D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0548" w:rsidRPr="00840548" w:rsidRDefault="006E64D8" w:rsidP="006E64D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|x+8 […] šps m ḏˁm mḥ m ˁˀ.t nb(.t) n-mˀˁ m rˀ-pr.w nb(.w) ḥr rn=f ḥtp m bw-ḏsr ḥnˁ gˀy.wt n.w nṯr.w spˀ.wt</w:t>
            </w:r>
          </w:p>
        </w:tc>
        <w:tc>
          <w:tcPr>
            <w:tcW w:w="6457" w:type="dxa"/>
          </w:tcPr>
          <w:p w:rsidR="006E64D8" w:rsidRDefault="006E64D8" w:rsidP="006E64D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nd man soll ein heiliges Bild des Königs von Ober- und Unterägypten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(Ptol[emaios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....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)|]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schaffen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[…]</w:t>
            </w:r>
          </w:p>
          <w:p w:rsidR="006E64D8" w:rsidRDefault="006E64D8" w:rsidP="006E64D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0548" w:rsidRPr="00840548" w:rsidRDefault="006E64D8" w:rsidP="006E64D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|x+8 […] [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und einen] prächtigen [Naos] aus Elektron-Gold, mit allen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wahrhaft kostbaren S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teinen ausgelegt, in allen namentlich bezeichneten Tempeln, das im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Allerheiligsten zusammen mit 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 Naoi der Gaugötter ruht.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6E64D8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x+8a</w:t>
            </w:r>
          </w:p>
        </w:tc>
        <w:tc>
          <w:tcPr>
            <w:tcW w:w="6945" w:type="dxa"/>
          </w:tcPr>
          <w:p w:rsidR="00840548" w:rsidRPr="006E64D8" w:rsidRDefault="006E64D8" w:rsidP="006E64D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ir irf ḫp(r) ḥb.w wr.w pri nṯr m qb.t=f šps(.t) r-rw.t pr=f im=sn mtw=tw sḫˁ gˀ.yt šps(.t) n(.t) nṯr pri nb-nfr.w ḥnˁ=sn</w:t>
            </w:r>
          </w:p>
        </w:tc>
        <w:tc>
          <w:tcPr>
            <w:tcW w:w="6457" w:type="dxa"/>
          </w:tcPr>
          <w:p w:rsidR="00840548" w:rsidRPr="00840548" w:rsidRDefault="006E64D8" w:rsidP="006E64D8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Sodann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die großen Feste stattfinde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, an denen der Gott in seinem prächtigen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Heiligtum aus sein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em H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ause geht, soll man den prächtigen Naos des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erscheinenden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Gottes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(=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Epiphanes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), Herr der Wohltaten (=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Eucharistos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zusammen mit ihnen erscheinen lassen.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3279DA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x+8-9</w:t>
            </w:r>
          </w:p>
        </w:tc>
        <w:tc>
          <w:tcPr>
            <w:tcW w:w="6945" w:type="dxa"/>
          </w:tcPr>
          <w:p w:rsidR="003279DA" w:rsidRDefault="003279DA" w:rsidP="003279D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 rdi.t siˀ.tw gˀ.yt tn m [hrw pn] r [ḥn.ty] […]</w:t>
            </w:r>
          </w:p>
          <w:p w:rsidR="003279DA" w:rsidRDefault="003279DA" w:rsidP="003279D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0548" w:rsidRPr="00840548" w:rsidRDefault="003279DA" w:rsidP="003279D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|x+9 [sḥn] nb ḥr-tp gˀ.yt tn m-isw-n wr.tj wn ḥr-tp gˀy.wt iw sḫm.tj m-ḥr-ib ir.w</w:t>
            </w:r>
          </w:p>
        </w:tc>
        <w:tc>
          <w:tcPr>
            <w:tcW w:w="6457" w:type="dxa"/>
          </w:tcPr>
          <w:p w:rsidR="003279DA" w:rsidRDefault="003279DA" w:rsidP="003279D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A628B">
              <w:rPr>
                <w:rFonts w:asciiTheme="majorBidi" w:hAnsiTheme="majorBidi" w:cstheme="majorBidi"/>
                <w:sz w:val="24"/>
                <w:szCs w:val="24"/>
              </w:rPr>
              <w:t>Um zu veranlassen, da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man diesen Naos 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eute und in Zukunft] erkenne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[…]</w:t>
            </w:r>
          </w:p>
          <w:p w:rsidR="00840548" w:rsidRPr="00840548" w:rsidRDefault="003279DA" w:rsidP="003279D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|x+9 </w:t>
            </w:r>
            <w:r w:rsidRPr="002A38E8"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…] jede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A38E8">
              <w:rPr>
                <w:rFonts w:asciiTheme="majorBidi" w:hAnsiTheme="majorBidi" w:cstheme="majorBidi"/>
                <w:sz w:val="24"/>
                <w:szCs w:val="24"/>
              </w:rPr>
              <w:t>[K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rone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]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auf diese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Naos anstatt der Uräen, die auf diesen Naoi sind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indem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die Doppelkrone in ihrer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Mitte ist,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3279DA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x+9</w:t>
            </w:r>
          </w:p>
        </w:tc>
        <w:tc>
          <w:tcPr>
            <w:tcW w:w="6945" w:type="dxa"/>
          </w:tcPr>
          <w:p w:rsidR="00840548" w:rsidRPr="00840548" w:rsidRDefault="003279DA" w:rsidP="003279D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ḏr-ntt psḏ ḥm=f im=f m Ḥw.t-kˀ-Ptḥ m-ḫt ir(.w) n=f ir.w nb n bs-nsw r ḥw.t-nṯr ḫft šsp.n=f iˀw.t=f wr.t</w:t>
            </w:r>
          </w:p>
        </w:tc>
        <w:tc>
          <w:tcPr>
            <w:tcW w:w="6457" w:type="dxa"/>
          </w:tcPr>
          <w:p w:rsidR="00840548" w:rsidRPr="00840548" w:rsidRDefault="003279DA" w:rsidP="00240E3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denn Seine Majestät glänzte damit </w:t>
            </w:r>
            <w:r w:rsidRPr="002A38E8">
              <w:rPr>
                <w:rFonts w:asciiTheme="majorBidi" w:hAnsiTheme="majorBidi" w:cstheme="majorBidi"/>
                <w:sz w:val="24"/>
                <w:szCs w:val="24"/>
              </w:rPr>
              <w:t>in Hut-ka-Ptah,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nachdem man ihm jede Zeremonie der Einführung des Königs in den Tempel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ausführte, als 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sein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große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Amt übernahm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3279DA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x+9-10</w:t>
            </w:r>
          </w:p>
        </w:tc>
        <w:tc>
          <w:tcPr>
            <w:tcW w:w="6945" w:type="dxa"/>
          </w:tcPr>
          <w:p w:rsidR="003279DA" w:rsidRDefault="003279DA" w:rsidP="003279D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mtw=tw rdi.t m gs ḥr.j n ḥpt n.tj m-rw.t sḥn.w ipn m-ˁqˀ[-n] sḫm.tj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[p]n […]</w:t>
            </w:r>
          </w:p>
          <w:p w:rsidR="003279DA" w:rsidRDefault="003279DA" w:rsidP="003279D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0548" w:rsidRPr="00840548" w:rsidRDefault="003279DA" w:rsidP="003279D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|x+10 </w:t>
            </w:r>
            <w:r w:rsidRPr="000704E8">
              <w:rPr>
                <w:rFonts w:asciiTheme="majorBidi" w:hAnsiTheme="majorBidi" w:cstheme="majorBidi"/>
                <w:sz w:val="24"/>
                <w:szCs w:val="24"/>
              </w:rPr>
              <w:t xml:space="preserve">[…]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0704E8">
              <w:rPr>
                <w:rFonts w:asciiTheme="majorBidi" w:hAnsiTheme="majorBidi" w:cstheme="majorBidi"/>
                <w:sz w:val="24"/>
                <w:szCs w:val="24"/>
              </w:rPr>
              <w:t>ḥw ḥr qˁḥ=s iˀb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.j</w:t>
            </w:r>
            <w:r w:rsidRPr="000704E8">
              <w:rPr>
                <w:rFonts w:asciiTheme="majorBidi" w:hAnsiTheme="majorBidi" w:cstheme="majorBidi"/>
                <w:sz w:val="24"/>
                <w:szCs w:val="24"/>
              </w:rPr>
              <w:t xml:space="preserve"> wḥˁ=f pw Nb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0704E8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j</w:t>
            </w:r>
            <w:r w:rsidRPr="000704E8">
              <w:rPr>
                <w:rFonts w:asciiTheme="majorBidi" w:hAnsiTheme="majorBidi" w:cstheme="majorBidi"/>
                <w:sz w:val="24"/>
                <w:szCs w:val="24"/>
              </w:rPr>
              <w:t xml:space="preserve"> sḥ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ḏ tˀ.wj</w:t>
            </w:r>
          </w:p>
        </w:tc>
        <w:tc>
          <w:tcPr>
            <w:tcW w:w="6457" w:type="dxa"/>
          </w:tcPr>
          <w:p w:rsidR="003279DA" w:rsidRDefault="003279DA" w:rsidP="003279D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U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nd man soll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platzieren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auf die Oberseite des Quadrates, das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außerhalb dieser Kronen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ist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, exakt ausgerichtet auf diese Doppelkrone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[…]</w:t>
            </w:r>
          </w:p>
          <w:p w:rsidR="00840548" w:rsidRPr="00840548" w:rsidRDefault="003279DA" w:rsidP="003279D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|x+10 […] ein Papyrus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in ihrer linken Ecke. Seine Bedeutung ist: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„Die Beiden Herrinnen: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der die Beiden Länder erleuchtet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“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3279DA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x+10-11</w:t>
            </w:r>
          </w:p>
        </w:tc>
        <w:tc>
          <w:tcPr>
            <w:tcW w:w="6945" w:type="dxa"/>
          </w:tcPr>
          <w:p w:rsidR="003279DA" w:rsidRDefault="003279DA" w:rsidP="003279D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ḏr-ntt wn ibd 4 šmw ˁrqy hrw ms nṯr nfr ˁnḫ ḏ.t ḏd.ti m ḥb ḫˁ m idb.w-Ḥr h̠r-ḥˀ.t mi.tt ir.w-n ibd 2 ˀḫ.t sw 17 ir(.w) n=f ir.w n.w ḫˁ-nsw m šsp.n=f nsy.t m-ˁ it=f is irf ḫnt m ḫ.t nb(.t) ˀḫ(.t) wr(.t) [wn h̠r tp.yw-tˀ] […]</w:t>
            </w:r>
          </w:p>
          <w:p w:rsidR="003279DA" w:rsidRDefault="003279DA" w:rsidP="003279D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279DA" w:rsidRDefault="003279DA" w:rsidP="003279D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279DA" w:rsidRDefault="003279DA" w:rsidP="003279D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279DA" w:rsidRDefault="003279DA" w:rsidP="003279D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279DA" w:rsidRDefault="003279DA" w:rsidP="003279D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0548" w:rsidRPr="00840548" w:rsidRDefault="003279DA" w:rsidP="003279D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|x+11 […] mnḫ.t iw imy ir.tw hrw.w ipn sw 17 ˁrqy m ibd nb m ḥb m gs.w-pr.w n.w Bˀq.t r-ˀw=sn mtw.tw wˀḥ ˁḫ sqr wdn.w ḥnˁ ir ḫ.t nb(.t) twt n ir m ḥb.w m ḥb ipn tp ibd nb ḫ.t nb(.t) ir.tw m ḥb.w ipn sšm(.w) r s(j) nb ir(.w) wnw.t=sn m ḥw.t-nṯr</w:t>
            </w:r>
          </w:p>
        </w:tc>
        <w:tc>
          <w:tcPr>
            <w:tcW w:w="6457" w:type="dxa"/>
          </w:tcPr>
          <w:p w:rsidR="003279DA" w:rsidRDefault="003279DA" w:rsidP="003279D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Weil der Monatsletzte des 4. Monats des Sommers (= </w:t>
            </w:r>
            <w:r w:rsidRPr="00327391">
              <w:rPr>
                <w:rFonts w:asciiTheme="majorBidi" w:hAnsiTheme="majorBidi" w:cstheme="majorBidi"/>
                <w:sz w:val="24"/>
                <w:szCs w:val="24"/>
              </w:rPr>
              <w:t>30. Mesore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327391">
              <w:rPr>
                <w:rFonts w:asciiTheme="majorBidi" w:hAnsiTheme="majorBidi" w:cstheme="majorBidi"/>
                <w:sz w:val="24"/>
                <w:szCs w:val="24"/>
              </w:rPr>
              <w:t xml:space="preserve"> der Geburtstag des vollkommenen Gottes, ewig lebend, als Fest und Prozession in den Horus-Ländern dauernd war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zuvor (und)</w:t>
            </w:r>
            <w:r w:rsidRPr="00327391">
              <w:rPr>
                <w:rFonts w:asciiTheme="majorBidi" w:hAnsiTheme="majorBidi" w:cstheme="majorBidi"/>
                <w:sz w:val="24"/>
                <w:szCs w:val="24"/>
              </w:rPr>
              <w:t xml:space="preserve"> ebenso der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17. Tag des 2. Monats der Überschwemmungszeit</w:t>
            </w:r>
            <w:r w:rsidRPr="0032739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(= </w:t>
            </w:r>
            <w:r w:rsidRPr="00327391">
              <w:rPr>
                <w:rFonts w:asciiTheme="majorBidi" w:hAnsiTheme="majorBidi" w:cstheme="majorBidi"/>
                <w:sz w:val="24"/>
                <w:szCs w:val="24"/>
              </w:rPr>
              <w:t>17. Paophi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327391">
              <w:rPr>
                <w:rFonts w:asciiTheme="majorBidi" w:hAnsiTheme="majorBidi" w:cstheme="majorBidi"/>
                <w:sz w:val="24"/>
                <w:szCs w:val="24"/>
              </w:rPr>
              <w:t>, als man ihm die Zeremonien der Königskrönung durchführte, als er das Königtum aus der Hand seines Vaters empfing - wahrlich der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Anfang all der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großen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vortrefflichen Dinge, [die bei den Erdbewohnern sind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] [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...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]</w:t>
            </w:r>
          </w:p>
          <w:p w:rsidR="00840548" w:rsidRPr="00840548" w:rsidRDefault="003279DA" w:rsidP="003279D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|x+11 […]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trefflichen [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…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], soll man diese Tage, den 17. und den 30.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Tag in jedem Monat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als Fest feiern in allen Tempeln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von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Ägypten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 M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an soll Brand- und Trankopfer darbringen und alle Dinge tun, die an den Festen zu tun sich ziemt, an diesen Festen in jedem Monat.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Alles, was an diesen Festen geopfert wird, soll an alle Leute geleitet werden, die ihren Dienst in den Tempeln tun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9B33BD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x+11-12</w:t>
            </w:r>
          </w:p>
        </w:tc>
        <w:tc>
          <w:tcPr>
            <w:tcW w:w="6945" w:type="dxa"/>
          </w:tcPr>
          <w:p w:rsidR="009B33BD" w:rsidRDefault="009B33BD" w:rsidP="009B33B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[m]tw=tw […]</w:t>
            </w:r>
          </w:p>
          <w:p w:rsidR="00840548" w:rsidRPr="006E64D8" w:rsidRDefault="009B33BD" w:rsidP="009B33B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|x+12 </w:t>
            </w:r>
            <w:r w:rsidRPr="00E06963">
              <w:rPr>
                <w:rFonts w:asciiTheme="majorBidi" w:hAnsiTheme="majorBidi" w:cstheme="majorBidi"/>
                <w:sz w:val="24"/>
                <w:szCs w:val="24"/>
              </w:rPr>
              <w:t>[…] [(Pt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Pr="00E06963">
              <w:rPr>
                <w:rFonts w:asciiTheme="majorBidi" w:hAnsiTheme="majorBidi" w:cstheme="majorBidi"/>
                <w:sz w:val="24"/>
                <w:szCs w:val="24"/>
              </w:rPr>
              <w:t>]lmys ˁnḫ ḏ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E06963">
              <w:rPr>
                <w:rFonts w:asciiTheme="majorBidi" w:hAnsiTheme="majorBidi" w:cstheme="majorBidi"/>
                <w:sz w:val="24"/>
                <w:szCs w:val="24"/>
              </w:rPr>
              <w:t xml:space="preserve">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&lt;</w:t>
            </w:r>
            <w:r w:rsidRPr="00E06963">
              <w:rPr>
                <w:rFonts w:asciiTheme="majorBidi" w:hAnsiTheme="majorBidi" w:cstheme="majorBidi"/>
                <w:sz w:val="24"/>
                <w:szCs w:val="24"/>
              </w:rPr>
              <w:t>mr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&gt;.</w:t>
            </w:r>
            <w:r w:rsidRPr="00E06963">
              <w:rPr>
                <w:rFonts w:asciiTheme="majorBidi" w:hAnsiTheme="majorBidi" w:cstheme="majorBidi"/>
                <w:sz w:val="24"/>
                <w:szCs w:val="24"/>
              </w:rPr>
              <w:t>y Ptḥ)| nṯr pr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E06963">
              <w:rPr>
                <w:rFonts w:asciiTheme="majorBidi" w:hAnsiTheme="majorBidi" w:cstheme="majorBidi"/>
                <w:sz w:val="24"/>
                <w:szCs w:val="24"/>
              </w:rPr>
              <w:t xml:space="preserve"> nb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-nfr.w tp rnp.t šˀˁ-m tpy ˀḫ.t nfr.yt-r hrw 5 mḥ r tp=sn sḥb ḫˀwy sqr wdn.w ḥnˁ ḫ.t nb(.t) twt n ir.tj</w:t>
            </w:r>
          </w:p>
        </w:tc>
        <w:tc>
          <w:tcPr>
            <w:tcW w:w="6457" w:type="dxa"/>
          </w:tcPr>
          <w:p w:rsidR="009B33BD" w:rsidRDefault="009B33BD" w:rsidP="009B33B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[und man soll] […]</w:t>
            </w:r>
          </w:p>
          <w:p w:rsidR="00840548" w:rsidRPr="00840548" w:rsidRDefault="009B33BD" w:rsidP="009B33B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|x+12 […] [(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Pt]olemaios, ewig lebend,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&lt;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geliebt von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&gt;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Ptah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)|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, 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erscheinende Gott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(=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Epiphanes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), Herr der Wohltaten (=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Eucharistos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), jährlich vom ersten (Monat) (= Thot) der Überschwemmungszeit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an 5 Tage lang, ein Kranz an ihrem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Kopf. Die Altäre sollen festlich hergerichtet und </w:t>
            </w:r>
            <w:r w:rsidRPr="0069524B">
              <w:rPr>
                <w:rFonts w:asciiTheme="majorBidi" w:hAnsiTheme="majorBidi" w:cstheme="majorBidi"/>
                <w:sz w:val="24"/>
                <w:szCs w:val="24"/>
              </w:rPr>
              <w:t>Trankopfer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gespendet werden mit allen Dingen, die zu tun sich ziemt.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9B33BD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x+12-13</w:t>
            </w:r>
          </w:p>
        </w:tc>
        <w:tc>
          <w:tcPr>
            <w:tcW w:w="6945" w:type="dxa"/>
          </w:tcPr>
          <w:p w:rsidR="009B33BD" w:rsidRDefault="009B33BD" w:rsidP="009B33B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wˁb.w n.w gs.w-pr.w m rˀ-pr.w nb(.w) ḥr rn=f kˀ.tw=sn ḥm nṯr pri nb-nfr.w m-{hrw}&lt;ḥˀw&gt;-r iˀw.wt wˁb.w n=sn imy [sph̠r]</w:t>
            </w:r>
          </w:p>
          <w:p w:rsidR="009B33BD" w:rsidRDefault="009B33BD" w:rsidP="009B33B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|x+13 […] iˀw.t wˁb n nṯr pri nb-nfr.w ḥr ḫtm /// ḏr.t=sn</w:t>
            </w:r>
          </w:p>
          <w:p w:rsidR="00840548" w:rsidRPr="00840548" w:rsidRDefault="00840548" w:rsidP="000F4E5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457" w:type="dxa"/>
          </w:tcPr>
          <w:p w:rsidR="00840548" w:rsidRPr="00840548" w:rsidRDefault="009B33BD" w:rsidP="009B33B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A628B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Die Priester der Tempel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in jedem namentlich genannten Tempel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man soll sie Diener des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erscheinenden Gottes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(=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Epiphanes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),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Herr der Wohltaten (=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Eucharistos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), nennen, zusätzlich zu ihren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Priester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Ämtern.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Man soll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schreiben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] |x+13 […]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das Amt eines Priesters des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erscheinenden Gottes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(=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Epiphanes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), Herr der Wohltaten (=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Eucharistos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),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in den Ring an ihren Händen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eingeschnitten werden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]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9B33BD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x+13</w:t>
            </w:r>
          </w:p>
        </w:tc>
        <w:tc>
          <w:tcPr>
            <w:tcW w:w="6945" w:type="dxa"/>
          </w:tcPr>
          <w:p w:rsidR="00840548" w:rsidRPr="00840548" w:rsidRDefault="009B33BD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irf sw wn=s m ˁ.wj wnn.yw nti=sn ˀb sˁḥˁ mi.tt gˀ.yt tn n nṯr pri nb-nfr.w r rdi.t wnn=s m pr=sn mtw=sn iri ḥb.w ḫˁ.w ipn tp ibd tp rnp.t r rdi.t siˀ.tw wnn im.jw Tˀ-mri ḥr ḏsr</w:t>
            </w:r>
          </w:p>
        </w:tc>
        <w:tc>
          <w:tcPr>
            <w:tcW w:w="6457" w:type="dxa"/>
          </w:tcPr>
          <w:p w:rsidR="00840548" w:rsidRPr="00840548" w:rsidRDefault="009B33BD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Außerdem soll 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den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Händen der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Menschen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liegen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, die es wünschen, ein Abbild dieses Naos des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erscheinenden Gottes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(=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Epiphanes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), Herr der Wohltaten (=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Eucharistos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aufzustellen, um ihn in ihrem Haus sein zu lassen,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und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ie sollen diese Feste und Prozessionen monatlich und jährlich veranstalten,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um erkennen zu lassen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, da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die Bewohner Ägyptens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verherrlichen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40548" w:rsidRPr="00840548" w:rsidTr="0042318A">
        <w:tc>
          <w:tcPr>
            <w:tcW w:w="1101" w:type="dxa"/>
          </w:tcPr>
          <w:p w:rsidR="00840548" w:rsidRPr="00840548" w:rsidRDefault="009B33BD" w:rsidP="00B552A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x+14</w:t>
            </w:r>
          </w:p>
        </w:tc>
        <w:tc>
          <w:tcPr>
            <w:tcW w:w="6945" w:type="dxa"/>
          </w:tcPr>
          <w:p w:rsidR="00840548" w:rsidRPr="006E64D8" w:rsidRDefault="009B33BD" w:rsidP="009B33B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|x+14 [ḫt.tw] sḫˀ.w pn ḥr ˁḥˁ.w n ˁˀ.t rwḏ.t m sh̠ n md.w-nṯr (m) sh̠ šˁy (m) sḫˀ.y n Ḥˀ.w-nb.w(t) rdi.t ˁḥˁ=f m gs.w-pr.w m rˀ.w-pr.w nb(.w) ḥr rn=f m mḥ-1 mḥ-2 mḥ-3 r-gs h̠nty n nsw-bit (Ptlwmys ˁnḫ ḏ.t mr.y Ptḥ)| nṯr pri nb-nfr.w</w:t>
            </w:r>
          </w:p>
        </w:tc>
        <w:tc>
          <w:tcPr>
            <w:tcW w:w="6457" w:type="dxa"/>
          </w:tcPr>
          <w:p w:rsidR="00840548" w:rsidRPr="00840548" w:rsidRDefault="009B33BD" w:rsidP="009B33B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|x+14 [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Man schreibe] diesen Erla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auf eine Stele von festem Stein, in der Schrift der Gottesworte,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der Schrift der Briefe und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der Schrift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der Griechen. M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lasse ihn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auf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stellen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in allen namentlich bezeichneten Tempeln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und in den Tempelbezirken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erster, zweiter und dritter Ordnung, zu Seiten der Statue des Königs von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Ober- und Unterägypten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Ptolemaios, ewig lebend, geliebt von Ptah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)|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, des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erscheinenden Gottes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(= 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Epiphanes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), Herr der Wohltaten (=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 xml:space="preserve"> Eucharistos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0A628B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:rsidR="00840548" w:rsidRDefault="00840548" w:rsidP="00840548">
      <w:pPr>
        <w:rPr>
          <w:rFonts w:asciiTheme="majorBidi" w:hAnsiTheme="majorBidi" w:cstheme="majorBidi"/>
          <w:sz w:val="24"/>
          <w:szCs w:val="24"/>
        </w:rPr>
      </w:pPr>
    </w:p>
    <w:p w:rsidR="005E4B08" w:rsidRPr="00E32076" w:rsidRDefault="005E4B08" w:rsidP="0084054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32076">
        <w:rPr>
          <w:rFonts w:asciiTheme="majorBidi" w:hAnsiTheme="majorBidi" w:cstheme="majorBidi"/>
          <w:b/>
          <w:bCs/>
          <w:sz w:val="24"/>
          <w:szCs w:val="24"/>
        </w:rPr>
        <w:t>Kommentare</w:t>
      </w:r>
    </w:p>
    <w:p w:rsidR="001B04D3" w:rsidRPr="00840548" w:rsidRDefault="001B04D3" w:rsidP="009D74D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1B04D3" w:rsidRPr="00840548" w:rsidSect="0084054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7C06"/>
    <w:multiLevelType w:val="hybridMultilevel"/>
    <w:tmpl w:val="7E8C30D6"/>
    <w:lvl w:ilvl="0" w:tplc="CF347792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C7F3D"/>
    <w:multiLevelType w:val="hybridMultilevel"/>
    <w:tmpl w:val="B1A0C910"/>
    <w:lvl w:ilvl="0" w:tplc="5D5CFBBA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548"/>
    <w:rsid w:val="000353BC"/>
    <w:rsid w:val="000D7AA3"/>
    <w:rsid w:val="000F4E54"/>
    <w:rsid w:val="000F734A"/>
    <w:rsid w:val="001055DF"/>
    <w:rsid w:val="00163352"/>
    <w:rsid w:val="00171BF7"/>
    <w:rsid w:val="00180B83"/>
    <w:rsid w:val="001940F2"/>
    <w:rsid w:val="001B04D3"/>
    <w:rsid w:val="001D01B8"/>
    <w:rsid w:val="001D4DCA"/>
    <w:rsid w:val="001E3B24"/>
    <w:rsid w:val="00240E38"/>
    <w:rsid w:val="00270BD6"/>
    <w:rsid w:val="002926C9"/>
    <w:rsid w:val="00293CDF"/>
    <w:rsid w:val="002B0B1A"/>
    <w:rsid w:val="002E1320"/>
    <w:rsid w:val="003279DA"/>
    <w:rsid w:val="00372227"/>
    <w:rsid w:val="00385D27"/>
    <w:rsid w:val="003A09D2"/>
    <w:rsid w:val="003A6917"/>
    <w:rsid w:val="003D7A04"/>
    <w:rsid w:val="0042318A"/>
    <w:rsid w:val="004F5F28"/>
    <w:rsid w:val="00533D96"/>
    <w:rsid w:val="00565082"/>
    <w:rsid w:val="005B2D32"/>
    <w:rsid w:val="005C2C31"/>
    <w:rsid w:val="005C40C3"/>
    <w:rsid w:val="005E4B08"/>
    <w:rsid w:val="005E6AF4"/>
    <w:rsid w:val="006367F3"/>
    <w:rsid w:val="006616FF"/>
    <w:rsid w:val="00680FA5"/>
    <w:rsid w:val="006856E7"/>
    <w:rsid w:val="006877FD"/>
    <w:rsid w:val="006E64D8"/>
    <w:rsid w:val="00756A55"/>
    <w:rsid w:val="00770BAE"/>
    <w:rsid w:val="00776E9A"/>
    <w:rsid w:val="00790D2E"/>
    <w:rsid w:val="00791D8C"/>
    <w:rsid w:val="00810144"/>
    <w:rsid w:val="00822786"/>
    <w:rsid w:val="00840548"/>
    <w:rsid w:val="008612FB"/>
    <w:rsid w:val="008B7003"/>
    <w:rsid w:val="008D5C78"/>
    <w:rsid w:val="00932936"/>
    <w:rsid w:val="009B33BD"/>
    <w:rsid w:val="009C3F0D"/>
    <w:rsid w:val="009D74DF"/>
    <w:rsid w:val="00AC29CF"/>
    <w:rsid w:val="00AE5CC2"/>
    <w:rsid w:val="00AF12DE"/>
    <w:rsid w:val="00B12F53"/>
    <w:rsid w:val="00B47D44"/>
    <w:rsid w:val="00B552A7"/>
    <w:rsid w:val="00B60874"/>
    <w:rsid w:val="00B9354A"/>
    <w:rsid w:val="00BC0A7C"/>
    <w:rsid w:val="00BC3AF8"/>
    <w:rsid w:val="00BE25AD"/>
    <w:rsid w:val="00C0610C"/>
    <w:rsid w:val="00C4565A"/>
    <w:rsid w:val="00C46840"/>
    <w:rsid w:val="00C60481"/>
    <w:rsid w:val="00C604FA"/>
    <w:rsid w:val="00CF2379"/>
    <w:rsid w:val="00D07AB2"/>
    <w:rsid w:val="00D165A3"/>
    <w:rsid w:val="00D303D5"/>
    <w:rsid w:val="00DB7729"/>
    <w:rsid w:val="00E00030"/>
    <w:rsid w:val="00E32076"/>
    <w:rsid w:val="00EA528C"/>
    <w:rsid w:val="00F2428A"/>
    <w:rsid w:val="00F2678C"/>
    <w:rsid w:val="00F2777B"/>
    <w:rsid w:val="00F43E85"/>
    <w:rsid w:val="00F4534F"/>
    <w:rsid w:val="00F5339E"/>
    <w:rsid w:val="00F65ADE"/>
    <w:rsid w:val="00F65DBD"/>
    <w:rsid w:val="00FB1C2F"/>
    <w:rsid w:val="00FE5CAB"/>
    <w:rsid w:val="00F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054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unaligned">
    <w:name w:val="unaligned"/>
    <w:basedOn w:val="Absatz-Standardschriftart"/>
    <w:rsid w:val="00840548"/>
  </w:style>
  <w:style w:type="table" w:styleId="Tabellenraster">
    <w:name w:val="Table Grid"/>
    <w:basedOn w:val="NormaleTabelle"/>
    <w:uiPriority w:val="59"/>
    <w:rsid w:val="0084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80F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054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unaligned">
    <w:name w:val="unaligned"/>
    <w:basedOn w:val="Absatz-Standardschriftart"/>
    <w:rsid w:val="00840548"/>
  </w:style>
  <w:style w:type="table" w:styleId="Tabellenraster">
    <w:name w:val="Table Grid"/>
    <w:basedOn w:val="NormaleTabelle"/>
    <w:uiPriority w:val="59"/>
    <w:rsid w:val="0084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8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1220</Words>
  <Characters>7693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jh59koxa</dc:creator>
  <cp:lastModifiedBy>jh59koxa</cp:lastModifiedBy>
  <cp:revision>2</cp:revision>
  <dcterms:created xsi:type="dcterms:W3CDTF">2018-01-24T09:57:00Z</dcterms:created>
  <dcterms:modified xsi:type="dcterms:W3CDTF">2018-01-24T09:57:00Z</dcterms:modified>
</cp:coreProperties>
</file>