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Bonnyrigg</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Bonnyrigg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Bonnyrigg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Bonnyrigg and surrounding suburbs, including Bonnyrigg Avenue, residential streets, and nearby main roads</w:t>
      </w:r>
    </w:p>
    <w:p>
      <w:pPr>
        <w:pStyle w:val="ListParagraph"/>
        <w:numPr>
          <w:ilvl w:val="0"/>
          <w:numId w:val="2"/>
        </w:numPr>
        <w:spacing w:after="60" w:before="60"/>
      </w:pPr>
      <w:r>
        <w:rPr>
          <w:rFonts w:ascii="Arial" w:cs="Arial" w:eastAsia="Arial" w:hAnsi="Arial"/>
          <w:color w:val="1C1C1E"/>
          <w:sz w:val="22"/>
          <w:szCs w:val="22"/>
        </w:rPr>
        <w:t xml:space="preserve">Test route preparation covering the Bonnyrigg area and Liverpool Service NSW test centre routes</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Liverpool Service NSW test routes commonly used by Bonnyrigg-area students, covering key hazard points and examiner expectations.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from Bonnyrigg, Bonnyrigg Heights, and surrounding suburbs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in Bonnyrigg and nearby suburbs arranging lessons for their teenage children</w:t>
      </w:r>
    </w:p>
    <w:p>
      <w:pPr>
        <w:pStyle w:val="ListParagraph"/>
        <w:numPr>
          <w:ilvl w:val="0"/>
          <w:numId w:val="2"/>
        </w:numPr>
        <w:spacing w:after="60" w:before="60"/>
      </w:pPr>
      <w:r>
        <w:rPr>
          <w:rFonts w:ascii="Arial" w:cs="Arial" w:eastAsia="Arial" w:hAnsi="Arial"/>
          <w:color w:val="1C1C1E"/>
          <w:sz w:val="22"/>
          <w:szCs w:val="22"/>
        </w:rPr>
        <w:t xml:space="preserve">Adult learners from the Fairfield LGA who never learned to drive or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from the Bonnyrigg and Cabramatta corridor preparing for an NSW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serving Bonnyrigg and the surrounding Fairfield LGA area.</w:t>
            </w:r>
          </w:p>
          <w:p>
            <w:pPr>
              <w:spacing w:after="60" w:before="60"/>
            </w:pPr>
            <w:r>
              <w:rPr>
                <w:rFonts w:ascii="Arial" w:cs="Arial" w:eastAsia="Arial" w:hAnsi="Arial"/>
                <w:color w:val="1C1C1E"/>
                <w:sz w:val="22"/>
                <w:szCs w:val="22"/>
              </w:rPr>
              <w:t xml:space="preserve">They are not yet convinced which school to choose. The page must demonstrate local knowledge of Bonnyrigg streets and proximity to the Liverpool test centre.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uncertainty about finding a school that actually comes to Bonnyrigg, and concern about which instructor knows the local streets well enough to prepare them for the Liverpool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overwhelmed by busy main roads around Bonnyrigg, including the Hume Highway and Canley Vale Road</w:t>
      </w:r>
    </w:p>
    <w:p>
      <w:pPr>
        <w:pStyle w:val="ListParagraph"/>
        <w:numPr>
          <w:ilvl w:val="0"/>
          <w:numId w:val="2"/>
        </w:numPr>
        <w:spacing w:after="60" w:before="60"/>
      </w:pPr>
      <w:r>
        <w:rPr>
          <w:rFonts w:ascii="Arial" w:cs="Arial" w:eastAsia="Arial" w:hAnsi="Arial"/>
          <w:color w:val="1C1C1E"/>
          <w:sz w:val="22"/>
          <w:szCs w:val="22"/>
        </w:rPr>
        <w:t xml:space="preserve">Booking a school that claims to serve the area but sends instructors who do not know local streets</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particularly without preparation on the actual Liverpool test routes</w:t>
      </w:r>
    </w:p>
    <w:p>
      <w:pPr>
        <w:pStyle w:val="ListParagraph"/>
        <w:numPr>
          <w:ilvl w:val="0"/>
          <w:numId w:val="2"/>
        </w:numPr>
        <w:spacing w:after="60" w:before="60"/>
      </w:pPr>
      <w:r>
        <w:rPr>
          <w:rFonts w:ascii="Arial" w:cs="Arial" w:eastAsia="Arial" w:hAnsi="Arial"/>
          <w:color w:val="1C1C1E"/>
          <w:sz w:val="22"/>
          <w:szCs w:val="22"/>
        </w:rPr>
        <w:t xml:space="preserve">Worrying the school does not serve Bonnyrigg or will charge extra for travel to the suburb</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fit around school at Bonnyrigg High, TAFE, or work in the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limited public transport in Bonnyrigg, where buses run infrequently and a car is often essential for reaching Liverpool or Parramatta for work</w:t>
      </w:r>
    </w:p>
    <w:p>
      <w:pPr>
        <w:pStyle w:val="ListParagraph"/>
        <w:numPr>
          <w:ilvl w:val="0"/>
          <w:numId w:val="2"/>
        </w:numPr>
        <w:spacing w:after="60" w:before="60"/>
      </w:pPr>
      <w:r>
        <w:rPr>
          <w:rFonts w:ascii="Arial" w:cs="Arial" w:eastAsia="Arial" w:hAnsi="Arial"/>
          <w:color w:val="1C1C1E"/>
          <w:sz w:val="22"/>
          <w:szCs w:val="22"/>
        </w:rPr>
        <w:t xml:space="preserve">Delayed employment opportunities and independence in a suburb where transport options are limited and driving is a practical necessity</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in Bonnyrigg with no licence, uncertain about which school actually serves the suburb well, and unsure how to get to the Liverpool test centre confidently.</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who serve Bonnyrigg directly, know the local streets, and prepare students for the Liverpool Service NSW test centre</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built around the roads students will actually drive in Bonnyrigg and on the way to Liverpool</w:t>
      </w:r>
    </w:p>
    <w:p>
      <w:pPr>
        <w:pStyle w:val="ListParagraph"/>
        <w:numPr>
          <w:ilvl w:val="0"/>
          <w:numId w:val="2"/>
        </w:numPr>
        <w:spacing w:after="60" w:before="60"/>
      </w:pPr>
      <w:r>
        <w:rPr>
          <w:rFonts w:ascii="Arial" w:cs="Arial" w:eastAsia="Arial" w:hAnsi="Arial"/>
          <w:color w:val="1C1C1E"/>
          <w:sz w:val="22"/>
          <w:szCs w:val="22"/>
        </w:rPr>
        <w:t xml:space="preserve">Patient instructors experienced with the diverse community in the Fairfield LGA, including multilingual support where available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delivering driving lessons across Bonnyrigg, Fairfield, and the wider south-western Sydney area</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Bonnyrigg and Fairfield LGA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Bonnyrigg Heights, Bonnyrigg, Cabramatta, Wakeley)</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Bonnyrigg with pick-up and drop-off across the surrounding suburbs</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Bonnyrigg (primary)</w:t>
      </w:r>
    </w:p>
    <w:p>
      <w:pPr>
        <w:pStyle w:val="ListParagraph"/>
        <w:numPr>
          <w:ilvl w:val="0"/>
          <w:numId w:val="2"/>
        </w:numPr>
        <w:spacing w:after="60" w:before="60"/>
      </w:pPr>
      <w:r>
        <w:rPr>
          <w:rFonts w:ascii="Arial" w:cs="Arial" w:eastAsia="Arial" w:hAnsi="Arial"/>
          <w:color w:val="1C1C1E"/>
          <w:sz w:val="22"/>
          <w:szCs w:val="22"/>
        </w:rPr>
        <w:t xml:space="preserve">Bonnyrigg Heights</w:t>
      </w:r>
    </w:p>
    <w:p>
      <w:pPr>
        <w:pStyle w:val="ListParagraph"/>
        <w:numPr>
          <w:ilvl w:val="0"/>
          <w:numId w:val="2"/>
        </w:numPr>
        <w:spacing w:after="60" w:before="60"/>
      </w:pPr>
      <w:r>
        <w:rPr>
          <w:rFonts w:ascii="Arial" w:cs="Arial" w:eastAsia="Arial" w:hAnsi="Arial"/>
          <w:color w:val="1C1C1E"/>
          <w:sz w:val="22"/>
          <w:szCs w:val="22"/>
        </w:rPr>
        <w:t xml:space="preserve">Cabramatta</w:t>
      </w:r>
    </w:p>
    <w:p>
      <w:pPr>
        <w:pStyle w:val="ListParagraph"/>
        <w:numPr>
          <w:ilvl w:val="0"/>
          <w:numId w:val="2"/>
        </w:numPr>
        <w:spacing w:after="60" w:before="60"/>
      </w:pPr>
      <w:r>
        <w:rPr>
          <w:rFonts w:ascii="Arial" w:cs="Arial" w:eastAsia="Arial" w:hAnsi="Arial"/>
          <w:color w:val="1C1C1E"/>
          <w:sz w:val="22"/>
          <w:szCs w:val="22"/>
        </w:rPr>
        <w:t xml:space="preserve">Cabramatta West</w:t>
      </w:r>
    </w:p>
    <w:p>
      <w:pPr>
        <w:pStyle w:val="ListParagraph"/>
        <w:numPr>
          <w:ilvl w:val="0"/>
          <w:numId w:val="2"/>
        </w:numPr>
        <w:spacing w:after="60" w:before="60"/>
      </w:pPr>
      <w:r>
        <w:rPr>
          <w:rFonts w:ascii="Arial" w:cs="Arial" w:eastAsia="Arial" w:hAnsi="Arial"/>
          <w:color w:val="1C1C1E"/>
          <w:sz w:val="22"/>
          <w:szCs w:val="22"/>
        </w:rPr>
        <w:t xml:space="preserve">Canley Vale</w:t>
      </w:r>
    </w:p>
    <w:p>
      <w:pPr>
        <w:pStyle w:val="ListParagraph"/>
        <w:numPr>
          <w:ilvl w:val="0"/>
          <w:numId w:val="2"/>
        </w:numPr>
        <w:spacing w:after="60" w:before="60"/>
      </w:pPr>
      <w:r>
        <w:rPr>
          <w:rFonts w:ascii="Arial" w:cs="Arial" w:eastAsia="Arial" w:hAnsi="Arial"/>
          <w:color w:val="1C1C1E"/>
          <w:sz w:val="22"/>
          <w:szCs w:val="22"/>
        </w:rPr>
        <w:t xml:space="preserve">Canley Heights</w:t>
      </w:r>
    </w:p>
    <w:p>
      <w:pPr>
        <w:pStyle w:val="ListParagraph"/>
        <w:numPr>
          <w:ilvl w:val="0"/>
          <w:numId w:val="2"/>
        </w:numPr>
        <w:spacing w:after="60" w:before="60"/>
      </w:pPr>
      <w:r>
        <w:rPr>
          <w:rFonts w:ascii="Arial" w:cs="Arial" w:eastAsia="Arial" w:hAnsi="Arial"/>
          <w:color w:val="1C1C1E"/>
          <w:sz w:val="22"/>
          <w:szCs w:val="22"/>
        </w:rPr>
        <w:t xml:space="preserve">Wakeley</w:t>
      </w:r>
    </w:p>
    <w:p>
      <w:pPr>
        <w:pStyle w:val="ListParagraph"/>
        <w:numPr>
          <w:ilvl w:val="0"/>
          <w:numId w:val="2"/>
        </w:numPr>
        <w:spacing w:after="60" w:before="60"/>
      </w:pPr>
      <w:r>
        <w:rPr>
          <w:rFonts w:ascii="Arial" w:cs="Arial" w:eastAsia="Arial" w:hAnsi="Arial"/>
          <w:color w:val="1C1C1E"/>
          <w:sz w:val="22"/>
          <w:szCs w:val="22"/>
        </w:rPr>
        <w:t xml:space="preserve">Wetherill Park</w:t>
      </w:r>
    </w:p>
    <w:p>
      <w:pPr>
        <w:pStyle w:val="ListParagraph"/>
        <w:numPr>
          <w:ilvl w:val="0"/>
          <w:numId w:val="2"/>
        </w:numPr>
        <w:spacing w:after="60" w:before="60"/>
      </w:pPr>
      <w:r>
        <w:rPr>
          <w:rFonts w:ascii="Arial" w:cs="Arial" w:eastAsia="Arial" w:hAnsi="Arial"/>
          <w:color w:val="1C1C1E"/>
          <w:sz w:val="22"/>
          <w:szCs w:val="22"/>
        </w:rPr>
        <w:t xml:space="preserve">Smithfield</w:t>
      </w:r>
    </w:p>
    <w:p>
      <w:pPr>
        <w:pStyle w:val="ListParagraph"/>
        <w:numPr>
          <w:ilvl w:val="0"/>
          <w:numId w:val="2"/>
        </w:numPr>
        <w:spacing w:after="60" w:before="60"/>
      </w:pPr>
      <w:r>
        <w:rPr>
          <w:rFonts w:ascii="Arial" w:cs="Arial" w:eastAsia="Arial" w:hAnsi="Arial"/>
          <w:color w:val="1C1C1E"/>
          <w:sz w:val="22"/>
          <w:szCs w:val="22"/>
        </w:rPr>
        <w:t xml:space="preserve">Fairfield</w:t>
      </w:r>
    </w:p>
    <w:p>
      <w:pPr>
        <w:pStyle w:val="ListParagraph"/>
        <w:numPr>
          <w:ilvl w:val="0"/>
          <w:numId w:val="2"/>
        </w:numPr>
        <w:spacing w:after="60" w:before="60"/>
      </w:pPr>
      <w:r>
        <w:rPr>
          <w:rFonts w:ascii="Arial" w:cs="Arial" w:eastAsia="Arial" w:hAnsi="Arial"/>
          <w:color w:val="1C1C1E"/>
          <w:sz w:val="22"/>
          <w:szCs w:val="22"/>
        </w:rPr>
        <w:t xml:space="preserve">Fairfield Heights</w:t>
      </w:r>
    </w:p>
    <w:p>
      <w:pPr>
        <w:pStyle w:val="ListParagraph"/>
        <w:numPr>
          <w:ilvl w:val="0"/>
          <w:numId w:val="2"/>
        </w:numPr>
        <w:spacing w:after="60" w:before="60"/>
      </w:pPr>
      <w:r>
        <w:rPr>
          <w:rFonts w:ascii="Arial" w:cs="Arial" w:eastAsia="Arial" w:hAnsi="Arial"/>
          <w:color w:val="1C1C1E"/>
          <w:sz w:val="22"/>
          <w:szCs w:val="22"/>
        </w:rPr>
        <w:t xml:space="preserve">Fairfield West</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Green Valley</w:t>
      </w:r>
    </w:p>
    <w:p>
      <w:pPr>
        <w:spacing w:after="60" w:before="60"/>
      </w:pPr>
      <w:r>
        <w:rPr>
          <w:rFonts w:ascii="Arial" w:cs="Arial" w:eastAsia="Arial" w:hAnsi="Arial"/>
          <w:i/>
          <w:iCs/>
          <w:color w:val="6B7280"/>
          <w:sz w:val="20"/>
          <w:szCs w:val="20"/>
        </w:rPr>
        <w:t xml:space="preserve">📌 Confirm with school which of these suburbs they pick up from directly. Bonnyrigg sits within Fairfield LGA. Note proximity to Liverpool test centre as a key geographic selling point.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serves Bonnyrigg directly, with instructors who know local streets and the Liverpool test centre routes used by Bonnyrigg-area students.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Do not claim multilingual instruction is available without confirming with the school. All service area claims must be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community-aware. Respectful of the diverse Bonnyrigg and Fairfield LGA population. Clear and practical.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Bonnyrigg</w:t>
      </w:r>
    </w:p>
    <w:p>
      <w:pPr>
        <w:pStyle w:val="ListParagraph"/>
        <w:numPr>
          <w:ilvl w:val="0"/>
          <w:numId w:val="2"/>
        </w:numPr>
        <w:spacing w:after="60" w:before="60"/>
      </w:pPr>
      <w:r>
        <w:rPr>
          <w:rFonts w:ascii="Arial" w:cs="Arial" w:eastAsia="Arial" w:hAnsi="Arial"/>
          <w:color w:val="1C1C1E"/>
          <w:sz w:val="22"/>
          <w:szCs w:val="22"/>
        </w:rPr>
        <w:t xml:space="preserve">Secondary: driving school Bonnyrigg, learner driver lessons Bonnyrigg, driving lessons Bonnyrigg Heights, driving lessons Fairfield LGA, driving school near Bonnyrigg</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Bonnyrigg, cost per lesson, how many lessons a beginner needs, which test centre Bonnyrigg students use, whether adult learners are welcome, and whether multilingual instructors are available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2026-06-05T13:34:50.233Z</dcterms:created>
  <dcterms:modified xsi:type="dcterms:W3CDTF">2026-06-05T13:34:50.234Z</dcterms:modified>
</cp:coreProperties>
</file>

<file path=docProps/custom.xml><?xml version="1.0" encoding="utf-8"?>
<Properties xmlns="http://schemas.openxmlformats.org/officeDocument/2006/custom-properties" xmlns:vt="http://schemas.openxmlformats.org/officeDocument/2006/docPropsVTypes"/>
</file>