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2A9D68"/>
          <w:sz w:val="26"/>
        </w:rPr>
      </w:pPr>
      <w:r>
        <w:rPr>
          <w:b/>
          <w:color w:val="123B7A"/>
          <w:sz w:val="46"/>
        </w:rPr>
        <w:t>DSHS FUTURE-STATE HOMEPAGE + INFORMATION ARCHITECTURE</w:t>
      </w:r>
    </w:p>
    <w:p>
      <w:pPr>
        <w:pStyle w:val="Normal"/>
        <w:jc w:val="center"/>
        <w:rPr>
          <w:i/>
        </w:rPr>
      </w:pPr>
      <w:r>
        <w:rPr>
          <w:b/>
          <w:color w:val="2A9D68"/>
          <w:sz w:val="26"/>
        </w:rPr>
        <w:t>Person-Centric • AI-Guided • Accessible • Connected</w:t>
      </w:r>
    </w:p>
    <w:p>
      <w:pPr>
        <w:pStyle w:val="Normal"/>
        <w:jc w:val="center"/>
        <w:rPr/>
      </w:pPr>
      <w:r>
        <w:rPr>
          <w:i/>
        </w:rPr>
        <w:t>A proposed UX architecture for dshs.wa.gov, with explicit alignment to RFQQ 2634-889 and WA Cares Fund priorities.</w:t>
      </w:r>
    </w:p>
    <w:p>
      <w:pPr>
        <w:pStyle w:val="Normal"/>
        <w:rPr/>
      </w:pPr>
      <w:r>
        <w:rPr/>
      </w:r>
    </w:p>
    <w:tbl>
      <w:tblPr>
        <w:tblW w:w="10943" w:type="dxa"/>
        <w:jc w:val="start"/>
        <w:tblInd w:w="0" w:type="dxa"/>
        <w:tblLayout w:type="fixed"/>
        <w:tblCellMar>
          <w:top w:w="0" w:type="dxa"/>
          <w:start w:w="108" w:type="dxa"/>
          <w:bottom w:w="0" w:type="dxa"/>
          <w:end w:w="108" w:type="dxa"/>
        </w:tblCellMar>
      </w:tblPr>
      <w:tblGrid>
        <w:gridCol w:w="2591"/>
        <w:gridCol w:w="8352"/>
      </w:tblGrid>
      <w:tr>
        <w:trPr/>
        <w:tc>
          <w:tcPr>
            <w:tcW w:w="2591" w:type="dxa"/>
            <w:tcBorders>
              <w:top w:val="single" w:sz="4" w:space="0" w:color="000000"/>
              <w:start w:val="single" w:sz="4" w:space="0" w:color="000000"/>
              <w:bottom w:val="single" w:sz="4" w:space="0" w:color="000000"/>
              <w:end w:val="single" w:sz="4" w:space="0" w:color="000000"/>
            </w:tcBorders>
            <w:shd w:fill="EAF2FA" w:val="clear"/>
            <w:vAlign w:val="center"/>
          </w:tcPr>
          <w:p>
            <w:pPr>
              <w:pStyle w:val="Normal"/>
              <w:widowControl/>
              <w:spacing w:lineRule="auto" w:line="240" w:before="0" w:after="0"/>
              <w:jc w:val="start"/>
              <w:rPr/>
            </w:pPr>
            <w:r>
              <w:rPr>
                <w:rFonts w:eastAsia="ＭＳ 明朝" w:cs=""/>
                <w:b/>
                <w:color w:val="123B7A"/>
                <w:kern w:val="0"/>
                <w:sz w:val="17"/>
                <w:szCs w:val="22"/>
              </w:rPr>
              <w:t>Primary objective</w:t>
            </w:r>
          </w:p>
        </w:tc>
        <w:tc>
          <w:tcPr>
            <w:tcW w:w="835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7"/>
                <w:szCs w:val="22"/>
              </w:rPr>
              <w:t>Shift DSHS from an organization/program-led website toward a need-led, guided service experience.</w:t>
            </w:r>
          </w:p>
        </w:tc>
      </w:tr>
      <w:tr>
        <w:trPr/>
        <w:tc>
          <w:tcPr>
            <w:tcW w:w="2591" w:type="dxa"/>
            <w:tcBorders>
              <w:top w:val="single" w:sz="4" w:space="0" w:color="000000"/>
              <w:start w:val="single" w:sz="4" w:space="0" w:color="000000"/>
              <w:bottom w:val="single" w:sz="4" w:space="0" w:color="000000"/>
              <w:end w:val="single" w:sz="4" w:space="0" w:color="000000"/>
            </w:tcBorders>
            <w:shd w:fill="EAF2FA" w:val="clear"/>
            <w:vAlign w:val="center"/>
          </w:tcPr>
          <w:p>
            <w:pPr>
              <w:pStyle w:val="Normal"/>
              <w:widowControl/>
              <w:spacing w:lineRule="auto" w:line="240" w:before="0" w:after="0"/>
              <w:jc w:val="start"/>
              <w:rPr/>
            </w:pPr>
            <w:r>
              <w:rPr>
                <w:rFonts w:eastAsia="ＭＳ 明朝" w:cs=""/>
                <w:b/>
                <w:color w:val="123B7A"/>
                <w:kern w:val="0"/>
                <w:sz w:val="17"/>
                <w:szCs w:val="22"/>
              </w:rPr>
              <w:t>Core interaction</w:t>
            </w:r>
          </w:p>
        </w:tc>
        <w:tc>
          <w:tcPr>
            <w:tcW w:w="835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7"/>
                <w:szCs w:val="22"/>
              </w:rPr>
              <w:t>A prominent AI-assisted intent search: “How can we help you today?”</w:t>
            </w:r>
          </w:p>
        </w:tc>
      </w:tr>
      <w:tr>
        <w:trPr/>
        <w:tc>
          <w:tcPr>
            <w:tcW w:w="2591" w:type="dxa"/>
            <w:tcBorders>
              <w:top w:val="single" w:sz="4" w:space="0" w:color="000000"/>
              <w:start w:val="single" w:sz="4" w:space="0" w:color="000000"/>
              <w:bottom w:val="single" w:sz="4" w:space="0" w:color="000000"/>
              <w:end w:val="single" w:sz="4" w:space="0" w:color="000000"/>
            </w:tcBorders>
            <w:shd w:fill="EAF2FA" w:val="clear"/>
            <w:vAlign w:val="center"/>
          </w:tcPr>
          <w:p>
            <w:pPr>
              <w:pStyle w:val="Normal"/>
              <w:widowControl/>
              <w:spacing w:lineRule="auto" w:line="240" w:before="0" w:after="0"/>
              <w:jc w:val="start"/>
              <w:rPr/>
            </w:pPr>
            <w:r>
              <w:rPr>
                <w:rFonts w:eastAsia="ＭＳ 明朝" w:cs=""/>
                <w:b/>
                <w:color w:val="123B7A"/>
                <w:kern w:val="0"/>
                <w:sz w:val="17"/>
                <w:szCs w:val="22"/>
              </w:rPr>
              <w:t>RFP alignment</w:t>
            </w:r>
          </w:p>
        </w:tc>
        <w:tc>
          <w:tcPr>
            <w:tcW w:w="835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7"/>
                <w:szCs w:val="22"/>
              </w:rPr>
              <w:t>Discovery → assessment → stakeholder engagement → strategic plan → journey maps → wireframes → user testing → research → usability → WCAG 2.2 accessibility testing.</w:t>
            </w:r>
          </w:p>
        </w:tc>
      </w:tr>
      <w:tr>
        <w:trPr/>
        <w:tc>
          <w:tcPr>
            <w:tcW w:w="2591" w:type="dxa"/>
            <w:tcBorders>
              <w:top w:val="single" w:sz="4" w:space="0" w:color="000000"/>
              <w:start w:val="single" w:sz="4" w:space="0" w:color="000000"/>
              <w:bottom w:val="single" w:sz="4" w:space="0" w:color="000000"/>
              <w:end w:val="single" w:sz="4" w:space="0" w:color="000000"/>
            </w:tcBorders>
            <w:shd w:fill="EAF2FA" w:val="clear"/>
            <w:vAlign w:val="center"/>
          </w:tcPr>
          <w:p>
            <w:pPr>
              <w:pStyle w:val="Normal"/>
              <w:widowControl/>
              <w:spacing w:lineRule="auto" w:line="240" w:before="0" w:after="0"/>
              <w:jc w:val="start"/>
              <w:rPr/>
            </w:pPr>
            <w:r>
              <w:rPr>
                <w:rFonts w:eastAsia="ＭＳ 明朝" w:cs=""/>
                <w:b/>
                <w:color w:val="123B7A"/>
                <w:kern w:val="0"/>
                <w:sz w:val="17"/>
                <w:szCs w:val="22"/>
              </w:rPr>
              <w:t>Scope note</w:t>
            </w:r>
          </w:p>
        </w:tc>
        <w:tc>
          <w:tcPr>
            <w:tcW w:w="835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7"/>
                <w:szCs w:val="22"/>
              </w:rPr>
              <w:t>This is a proposed future-state IA, not a claim that the final IA should be implemented without the discovery and validation activities required by the RFQQ.</w:t>
            </w:r>
          </w:p>
        </w:tc>
      </w:tr>
    </w:tbl>
    <w:p>
      <w:pPr>
        <w:pStyle w:val="Normal"/>
        <w:rPr/>
      </w:pPr>
      <w:r>
        <w:rPr/>
      </w:r>
      <w:r>
        <w:br w:type="page"/>
      </w:r>
    </w:p>
    <w:p>
      <w:pPr>
        <w:pStyle w:val="Heading1"/>
        <w:spacing w:before="0" w:after="0"/>
        <w:ind w:hanging="0" w:start="0"/>
        <w:rPr/>
      </w:pPr>
      <w:r>
        <w:rPr/>
        <w:t>1. Design Basis: What the RFP Is Asking For</w:t>
      </w:r>
    </w:p>
    <w:p>
      <w:pPr>
        <w:pStyle w:val="Normal"/>
        <w:rPr/>
      </w:pPr>
      <w:r>
        <w:rPr/>
        <w:t>RFQQ 2634-889 states that the effectiveness and administrative efficiency of WA Cares are supported by an accessible, intuitive and person-centered user experience. The initial phase emphasizes discovery, assessment, stakeholder engagement and a strategic project plan; later work may include journey mapping, wireframes, user testing, interviews/research, usability testing and WCAG 2.2 accessibility testing.</w:t>
      </w:r>
    </w:p>
    <w:p>
      <w:pPr>
        <w:pStyle w:val="ListBullet"/>
        <w:numPr>
          <w:ilvl w:val="0"/>
          <w:numId w:val="2"/>
        </w:numPr>
        <w:spacing w:before="0" w:after="40"/>
        <w:ind w:hanging="360" w:start="317" w:end="0"/>
        <w:contextualSpacing/>
        <w:rPr/>
      </w:pPr>
      <w:r>
        <w:rPr/>
        <w:t>WA Cares benefits portability: design for Washingtonians who may consume benefits outside Washington beginning July 1, 2030.</w:t>
      </w:r>
    </w:p>
    <w:p>
      <w:pPr>
        <w:pStyle w:val="ListBullet"/>
        <w:numPr>
          <w:ilvl w:val="0"/>
          <w:numId w:val="2"/>
        </w:numPr>
        <w:spacing w:before="0" w:after="40"/>
        <w:ind w:hanging="360" w:start="317" w:end="0"/>
        <w:contextualSpacing/>
        <w:rPr/>
      </w:pPr>
      <w:r>
        <w:rPr/>
        <w:t>AI + No Wrong Door: support AI tools, provider-search improvements and an AI agent that can guide people entering the long-term-care delivery system.</w:t>
      </w:r>
    </w:p>
    <w:p>
      <w:pPr>
        <w:pStyle w:val="ListBullet"/>
        <w:numPr>
          <w:ilvl w:val="0"/>
          <w:numId w:val="2"/>
        </w:numPr>
        <w:spacing w:before="0" w:after="40"/>
        <w:ind w:hanging="360" w:start="317" w:end="0"/>
        <w:contextualSpacing/>
        <w:rPr/>
      </w:pPr>
      <w:r>
        <w:rPr/>
        <w:t>Existing digital properties: improve the website, provider search tool, benefits calculator and related WA Cares experiences.</w:t>
      </w:r>
    </w:p>
    <w:p>
      <w:pPr>
        <w:pStyle w:val="ListBullet"/>
        <w:numPr>
          <w:ilvl w:val="0"/>
          <w:numId w:val="2"/>
        </w:numPr>
        <w:spacing w:before="0" w:after="40"/>
        <w:ind w:hanging="360" w:start="317" w:end="0"/>
        <w:contextualSpacing/>
        <w:rPr>
          <w:b/>
          <w:color w:val="123B7A"/>
        </w:rPr>
      </w:pPr>
      <w:r>
        <w:rPr/>
        <w:t>Design evidence: use user journeys, research, testing and accessibility evaluation to validate the future experience—not simply redesign screens.</w:t>
      </w:r>
    </w:p>
    <w:p>
      <w:pPr>
        <w:pStyle w:val="Normal"/>
        <w:rPr>
          <w:b/>
          <w:color w:val="123B7A"/>
        </w:rPr>
      </w:pPr>
      <w:r>
        <w:rPr>
          <w:b/>
          <w:color w:val="123B7A"/>
        </w:rPr>
        <w:t xml:space="preserve">RFP file / solicitation: </w:t>
      </w:r>
      <w:r>
        <w:rPr>
          <w:color w:val="1677C8"/>
          <w:u w:val="single"/>
        </w:rPr>
        <w:t>RFQQ 2634-889 — User Experience Design Consultant for WA Cares Fund</w:t>
      </w:r>
    </w:p>
    <w:p>
      <w:pPr>
        <w:pStyle w:val="Normal"/>
        <w:rPr>
          <w:b/>
          <w:color w:val="123B7A"/>
        </w:rPr>
      </w:pPr>
      <w:r>
        <w:rPr>
          <w:b/>
          <w:color w:val="123B7A"/>
        </w:rPr>
        <w:t xml:space="preserve">Current DSHS website: </w:t>
      </w:r>
      <w:r>
        <w:rPr>
          <w:color w:val="1677C8"/>
          <w:u w:val="single"/>
        </w:rPr>
        <w:t>https://www.dshs.wa.gov/</w:t>
      </w:r>
    </w:p>
    <w:p>
      <w:pPr>
        <w:pStyle w:val="Normal"/>
        <w:rPr/>
      </w:pPr>
      <w:r>
        <w:rPr>
          <w:b/>
          <w:color w:val="123B7A"/>
        </w:rPr>
        <w:t xml:space="preserve">DSHS services reference: </w:t>
      </w:r>
      <w:r>
        <w:rPr>
          <w:color w:val="1677C8"/>
          <w:u w:val="single"/>
        </w:rPr>
        <w:t>https://www.dshs.wa.gov/esa/community-services-offices/services-we-offer</w:t>
      </w:r>
    </w:p>
    <w:p>
      <w:pPr>
        <w:pStyle w:val="Normal"/>
        <w:rPr/>
      </w:pPr>
      <w:r>
        <w:rPr/>
        <w:t>RFP evidence: the solicitation identifies discovery, assessment, stakeholder engagement, strategic planning, AI/No Wrong Door, benefits portability, digital-property enhancements, journey mapping, wireframes, user testing, research, usability and WCAG 2.2 as core/future activities.</w:t>
      </w:r>
    </w:p>
    <w:p>
      <w:pPr>
        <w:pStyle w:val="Heading1"/>
        <w:ind w:hanging="0" w:start="0"/>
        <w:rPr>
          <w:rFonts w:eastAsia="ＭＳ 明朝" w:cs=""/>
          <w:b/>
          <w:color w:val="FFFFFF"/>
          <w:kern w:val="0"/>
          <w:sz w:val="16"/>
          <w:szCs w:val="22"/>
        </w:rPr>
      </w:pPr>
      <w:r>
        <w:rPr/>
        <w:t>2. UX Strategy</w:t>
      </w:r>
    </w:p>
    <w:tbl>
      <w:tblPr>
        <w:tblW w:w="10367" w:type="dxa"/>
        <w:jc w:val="center"/>
        <w:tblInd w:w="0" w:type="dxa"/>
        <w:tblLayout w:type="fixed"/>
        <w:tblCellMar>
          <w:top w:w="0" w:type="dxa"/>
          <w:start w:w="108" w:type="dxa"/>
          <w:bottom w:w="0" w:type="dxa"/>
          <w:end w:w="108" w:type="dxa"/>
        </w:tblCellMar>
      </w:tblPr>
      <w:tblGrid>
        <w:gridCol w:w="5184"/>
        <w:gridCol w:w="5183"/>
      </w:tblGrid>
      <w:tr>
        <w:trPr/>
        <w:tc>
          <w:tcPr>
            <w:tcW w:w="5184" w:type="dxa"/>
            <w:tcBorders>
              <w:top w:val="single" w:sz="4" w:space="0" w:color="000000"/>
              <w:start w:val="single" w:sz="4" w:space="0" w:color="000000"/>
              <w:bottom w:val="single" w:sz="4" w:space="0" w:color="000000"/>
              <w:end w:val="single" w:sz="4" w:space="0" w:color="000000"/>
            </w:tcBorders>
            <w:shd w:fill="123B7A" w:val="clear"/>
            <w:vAlign w:val="center"/>
          </w:tcPr>
          <w:p>
            <w:pPr>
              <w:pStyle w:val="Normal"/>
              <w:widowControl/>
              <w:spacing w:lineRule="auto" w:line="240" w:before="0" w:after="0"/>
              <w:jc w:val="start"/>
              <w:rPr/>
            </w:pPr>
            <w:r>
              <w:rPr>
                <w:rFonts w:eastAsia="ＭＳ 明朝" w:cs=""/>
                <w:b/>
                <w:color w:val="FFFFFF"/>
                <w:kern w:val="0"/>
                <w:sz w:val="16"/>
                <w:szCs w:val="22"/>
              </w:rPr>
              <w:t>PRINCIPLE</w:t>
            </w:r>
          </w:p>
        </w:tc>
        <w:tc>
          <w:tcPr>
            <w:tcW w:w="5183" w:type="dxa"/>
            <w:tcBorders>
              <w:top w:val="single" w:sz="4" w:space="0" w:color="000000"/>
              <w:start w:val="single" w:sz="4" w:space="0" w:color="000000"/>
              <w:bottom w:val="single" w:sz="4" w:space="0" w:color="000000"/>
              <w:end w:val="single" w:sz="4" w:space="0" w:color="000000"/>
            </w:tcBorders>
            <w:shd w:fill="123B7A" w:val="clear"/>
            <w:vAlign w:val="center"/>
          </w:tcPr>
          <w:p>
            <w:pPr>
              <w:pStyle w:val="Normal"/>
              <w:widowControl/>
              <w:spacing w:lineRule="auto" w:line="240" w:before="0" w:after="0"/>
              <w:jc w:val="start"/>
              <w:rPr/>
            </w:pPr>
            <w:r>
              <w:rPr>
                <w:rFonts w:eastAsia="ＭＳ 明朝" w:cs=""/>
                <w:b/>
                <w:color w:val="FFFFFF"/>
                <w:kern w:val="0"/>
                <w:sz w:val="16"/>
                <w:szCs w:val="22"/>
              </w:rPr>
              <w:t>WHAT IT MEANS FOR DSHS</w:t>
            </w:r>
          </w:p>
        </w:tc>
      </w:tr>
      <w:tr>
        <w:trPr/>
        <w:tc>
          <w:tcPr>
            <w:tcW w:w="51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6"/>
                <w:szCs w:val="22"/>
              </w:rPr>
              <w:t>Person-first</w:t>
            </w:r>
          </w:p>
        </w:tc>
        <w:tc>
          <w:tcPr>
            <w:tcW w:w="518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6"/>
                <w:szCs w:val="22"/>
              </w:rPr>
              <w:t>Start with the person’s situation, goal or life event—not DSHS administration names.</w:t>
            </w:r>
          </w:p>
        </w:tc>
      </w:tr>
      <w:tr>
        <w:trPr/>
        <w:tc>
          <w:tcPr>
            <w:tcW w:w="5184"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23B7A"/>
                <w:kern w:val="0"/>
                <w:sz w:val="16"/>
                <w:szCs w:val="22"/>
              </w:rPr>
              <w:t>Intent-first</w:t>
            </w:r>
          </w:p>
        </w:tc>
        <w:tc>
          <w:tcPr>
            <w:tcW w:w="5183"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6"/>
                <w:szCs w:val="22"/>
              </w:rPr>
              <w:t>Let users describe what they need in natural language and guide them to the right service.</w:t>
            </w:r>
          </w:p>
        </w:tc>
      </w:tr>
      <w:tr>
        <w:trPr/>
        <w:tc>
          <w:tcPr>
            <w:tcW w:w="51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6"/>
                <w:szCs w:val="22"/>
              </w:rPr>
              <w:t>No Wrong Door</w:t>
            </w:r>
          </w:p>
        </w:tc>
        <w:tc>
          <w:tcPr>
            <w:tcW w:w="518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6"/>
                <w:szCs w:val="22"/>
              </w:rPr>
              <w:t>A user can start anywhere and still be routed to the correct next step.</w:t>
            </w:r>
          </w:p>
        </w:tc>
      </w:tr>
      <w:tr>
        <w:trPr/>
        <w:tc>
          <w:tcPr>
            <w:tcW w:w="5184"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23B7A"/>
                <w:kern w:val="0"/>
                <w:sz w:val="16"/>
                <w:szCs w:val="22"/>
              </w:rPr>
              <w:t>Progressive disclosure</w:t>
            </w:r>
          </w:p>
        </w:tc>
        <w:tc>
          <w:tcPr>
            <w:tcW w:w="5183"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6"/>
                <w:szCs w:val="22"/>
              </w:rPr>
              <w:t>Show the minimum information needed first; expose policy/detail when users need it.</w:t>
            </w:r>
          </w:p>
        </w:tc>
      </w:tr>
      <w:tr>
        <w:trPr/>
        <w:tc>
          <w:tcPr>
            <w:tcW w:w="51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6"/>
                <w:szCs w:val="22"/>
              </w:rPr>
              <w:t>Connected journey</w:t>
            </w:r>
          </w:p>
        </w:tc>
        <w:tc>
          <w:tcPr>
            <w:tcW w:w="518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6"/>
                <w:szCs w:val="22"/>
              </w:rPr>
              <w:t>Discovery, eligibility, application, documents, status and ongoing management should feel like one journey.</w:t>
            </w:r>
          </w:p>
        </w:tc>
      </w:tr>
      <w:tr>
        <w:trPr/>
        <w:tc>
          <w:tcPr>
            <w:tcW w:w="5184"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23B7A"/>
                <w:kern w:val="0"/>
                <w:sz w:val="16"/>
                <w:szCs w:val="22"/>
              </w:rPr>
              <w:t>Human + AI</w:t>
            </w:r>
          </w:p>
        </w:tc>
        <w:tc>
          <w:tcPr>
            <w:tcW w:w="5183"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6"/>
                <w:szCs w:val="22"/>
              </w:rPr>
              <w:t>AI handles guidance and routing; human support remains prominent for complex, sensitive or high-risk moments.</w:t>
            </w:r>
          </w:p>
        </w:tc>
      </w:tr>
      <w:tr>
        <w:trPr/>
        <w:tc>
          <w:tcPr>
            <w:tcW w:w="51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6"/>
                <w:szCs w:val="22"/>
              </w:rPr>
              <w:t>Accessible by default</w:t>
            </w:r>
          </w:p>
        </w:tc>
        <w:tc>
          <w:tcPr>
            <w:tcW w:w="518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6"/>
                <w:szCs w:val="22"/>
              </w:rPr>
              <w:t>WCAG 2.2, keyboard access, readable content, focus management, language access, captions and alternative formats.</w:t>
            </w:r>
          </w:p>
        </w:tc>
      </w:tr>
    </w:tbl>
    <w:p>
      <w:pPr>
        <w:pStyle w:val="Normal"/>
        <w:rPr/>
      </w:pPr>
      <w:r>
        <w:rPr/>
      </w:r>
      <w:r>
        <w:br w:type="page"/>
      </w:r>
    </w:p>
    <w:p>
      <w:pPr>
        <w:pStyle w:val="Heading1"/>
        <w:spacing w:before="0" w:after="0"/>
        <w:ind w:hanging="0" w:start="0"/>
        <w:rPr/>
      </w:pPr>
      <w:r>
        <w:rPr/>
        <w:t>3. Proposed Future-State Information Architecture</w:t>
      </w:r>
    </w:p>
    <w:p>
      <w:pPr>
        <w:pStyle w:val="Normal"/>
        <w:rPr>
          <w:rFonts w:eastAsia="ＭＳ 明朝" w:cs=""/>
          <w:b/>
          <w:color w:val="FFFFFF"/>
          <w:kern w:val="0"/>
          <w:sz w:val="16"/>
          <w:szCs w:val="22"/>
        </w:rPr>
      </w:pPr>
      <w:r>
        <w:rPr/>
        <w:t>The top-level IA should remain intentionally small. Program and administrative complexity should sit beneath user goals and service pathways.</w:t>
      </w:r>
    </w:p>
    <w:tbl>
      <w:tblPr>
        <w:tblW w:w="10368" w:type="dxa"/>
        <w:jc w:val="center"/>
        <w:tblInd w:w="0" w:type="dxa"/>
        <w:tblLayout w:type="fixed"/>
        <w:tblCellMar>
          <w:top w:w="0" w:type="dxa"/>
          <w:start w:w="108" w:type="dxa"/>
          <w:bottom w:w="0" w:type="dxa"/>
          <w:end w:w="108" w:type="dxa"/>
        </w:tblCellMar>
      </w:tblPr>
      <w:tblGrid>
        <w:gridCol w:w="3456"/>
        <w:gridCol w:w="3456"/>
        <w:gridCol w:w="3456"/>
      </w:tblGrid>
      <w:tr>
        <w:trPr/>
        <w:tc>
          <w:tcPr>
            <w:tcW w:w="3456" w:type="dxa"/>
            <w:tcBorders>
              <w:top w:val="single" w:sz="4" w:space="0" w:color="000000"/>
              <w:start w:val="single" w:sz="4" w:space="0" w:color="000000"/>
              <w:bottom w:val="single" w:sz="4" w:space="0" w:color="000000"/>
              <w:end w:val="single" w:sz="4" w:space="0" w:color="000000"/>
            </w:tcBorders>
            <w:shd w:fill="123B7A" w:val="clear"/>
            <w:vAlign w:val="center"/>
          </w:tcPr>
          <w:p>
            <w:pPr>
              <w:pStyle w:val="Normal"/>
              <w:widowControl/>
              <w:spacing w:lineRule="auto" w:line="240" w:before="0" w:after="0"/>
              <w:jc w:val="start"/>
              <w:rPr/>
            </w:pPr>
            <w:r>
              <w:rPr>
                <w:rFonts w:eastAsia="ＭＳ 明朝" w:cs=""/>
                <w:b/>
                <w:color w:val="FFFFFF"/>
                <w:kern w:val="0"/>
                <w:sz w:val="16"/>
                <w:szCs w:val="22"/>
              </w:rPr>
              <w:t>LEVEL 1</w:t>
            </w:r>
          </w:p>
        </w:tc>
        <w:tc>
          <w:tcPr>
            <w:tcW w:w="3456" w:type="dxa"/>
            <w:tcBorders>
              <w:top w:val="single" w:sz="4" w:space="0" w:color="000000"/>
              <w:start w:val="single" w:sz="4" w:space="0" w:color="000000"/>
              <w:bottom w:val="single" w:sz="4" w:space="0" w:color="000000"/>
              <w:end w:val="single" w:sz="4" w:space="0" w:color="000000"/>
            </w:tcBorders>
            <w:shd w:fill="123B7A" w:val="clear"/>
            <w:vAlign w:val="center"/>
          </w:tcPr>
          <w:p>
            <w:pPr>
              <w:pStyle w:val="Normal"/>
              <w:widowControl/>
              <w:spacing w:lineRule="auto" w:line="240" w:before="0" w:after="0"/>
              <w:jc w:val="start"/>
              <w:rPr/>
            </w:pPr>
            <w:r>
              <w:rPr>
                <w:rFonts w:eastAsia="ＭＳ 明朝" w:cs=""/>
                <w:b/>
                <w:color w:val="FFFFFF"/>
                <w:kern w:val="0"/>
                <w:sz w:val="16"/>
                <w:szCs w:val="22"/>
              </w:rPr>
              <w:t>USER JOB</w:t>
            </w:r>
          </w:p>
        </w:tc>
        <w:tc>
          <w:tcPr>
            <w:tcW w:w="3456" w:type="dxa"/>
            <w:tcBorders>
              <w:top w:val="single" w:sz="4" w:space="0" w:color="000000"/>
              <w:start w:val="single" w:sz="4" w:space="0" w:color="000000"/>
              <w:bottom w:val="single" w:sz="4" w:space="0" w:color="000000"/>
              <w:end w:val="single" w:sz="4" w:space="0" w:color="000000"/>
            </w:tcBorders>
            <w:shd w:fill="123B7A" w:val="clear"/>
            <w:vAlign w:val="center"/>
          </w:tcPr>
          <w:p>
            <w:pPr>
              <w:pStyle w:val="Normal"/>
              <w:widowControl/>
              <w:spacing w:lineRule="auto" w:line="240" w:before="0" w:after="0"/>
              <w:jc w:val="start"/>
              <w:rPr/>
            </w:pPr>
            <w:r>
              <w:rPr>
                <w:rFonts w:eastAsia="ＭＳ 明朝" w:cs=""/>
                <w:b/>
                <w:color w:val="FFFFFF"/>
                <w:kern w:val="0"/>
                <w:sz w:val="16"/>
                <w:szCs w:val="22"/>
              </w:rPr>
              <w:t>LEVEL 2 / KEY CONTENT</w:t>
            </w:r>
          </w:p>
        </w:tc>
      </w:tr>
      <w:tr>
        <w:trPr/>
        <w:tc>
          <w:tcPr>
            <w:tcW w:w="34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6"/>
                <w:szCs w:val="22"/>
              </w:rPr>
              <w:t>HOME</w:t>
            </w:r>
          </w:p>
        </w:tc>
        <w:tc>
          <w:tcPr>
            <w:tcW w:w="34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6"/>
                <w:szCs w:val="22"/>
              </w:rPr>
              <w:t>Universal entry point</w:t>
            </w:r>
          </w:p>
        </w:tc>
        <w:tc>
          <w:tcPr>
            <w:tcW w:w="34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6"/>
                <w:szCs w:val="22"/>
              </w:rPr>
              <w:t>AI intent search; urgent help; quick actions; life-situation pathways; personalized guidance.</w:t>
            </w:r>
          </w:p>
        </w:tc>
      </w:tr>
      <w:tr>
        <w:trPr/>
        <w:tc>
          <w:tcPr>
            <w:tcW w:w="3456"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23B7A"/>
                <w:kern w:val="0"/>
                <w:sz w:val="16"/>
                <w:szCs w:val="22"/>
              </w:rPr>
              <w:t>GET HELP</w:t>
            </w:r>
          </w:p>
        </w:tc>
        <w:tc>
          <w:tcPr>
            <w:tcW w:w="3456"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6"/>
                <w:szCs w:val="22"/>
              </w:rPr>
              <w:t>Find support by need</w:t>
            </w:r>
          </w:p>
        </w:tc>
        <w:tc>
          <w:tcPr>
            <w:tcW w:w="3456"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6"/>
                <w:szCs w:val="22"/>
              </w:rPr>
              <w:t>Food &amp; basic needs; health coverage; cash assistance; housing; disability; aging/LTC; behavioral health; child/family support; employment; crisis/support.</w:t>
            </w:r>
          </w:p>
        </w:tc>
      </w:tr>
      <w:tr>
        <w:trPr/>
        <w:tc>
          <w:tcPr>
            <w:tcW w:w="34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6"/>
                <w:szCs w:val="22"/>
              </w:rPr>
              <w:t>MANAGE MY BENEFITS</w:t>
            </w:r>
          </w:p>
        </w:tc>
        <w:tc>
          <w:tcPr>
            <w:tcW w:w="34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6"/>
                <w:szCs w:val="22"/>
              </w:rPr>
              <w:t>My active relationship with DSHS</w:t>
            </w:r>
          </w:p>
        </w:tc>
        <w:tc>
          <w:tcPr>
            <w:tcW w:w="34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6"/>
                <w:szCs w:val="22"/>
              </w:rPr>
              <w:t>Sign in; application status; notices; tasks; documents; renew/report changes; appointments; renewals; benefits overview.</w:t>
            </w:r>
          </w:p>
        </w:tc>
      </w:tr>
      <w:tr>
        <w:trPr/>
        <w:tc>
          <w:tcPr>
            <w:tcW w:w="3456"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23B7A"/>
                <w:kern w:val="0"/>
                <w:sz w:val="16"/>
                <w:szCs w:val="22"/>
              </w:rPr>
              <w:t>SERVICES &amp; PROGRAMS</w:t>
            </w:r>
          </w:p>
        </w:tc>
        <w:tc>
          <w:tcPr>
            <w:tcW w:w="3456"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6"/>
                <w:szCs w:val="22"/>
              </w:rPr>
              <w:t>Browse when users know what they want</w:t>
            </w:r>
          </w:p>
        </w:tc>
        <w:tc>
          <w:tcPr>
            <w:tcW w:w="3456"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6"/>
                <w:szCs w:val="22"/>
              </w:rPr>
              <w:t>Program directory; eligibility; what is covered; how to apply; service details; provider/facility links.</w:t>
            </w:r>
          </w:p>
        </w:tc>
      </w:tr>
      <w:tr>
        <w:trPr/>
        <w:tc>
          <w:tcPr>
            <w:tcW w:w="34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6"/>
                <w:szCs w:val="22"/>
              </w:rPr>
              <w:t>RESOURCES &amp; GUIDANCE</w:t>
            </w:r>
          </w:p>
        </w:tc>
        <w:tc>
          <w:tcPr>
            <w:tcW w:w="34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6"/>
                <w:szCs w:val="22"/>
              </w:rPr>
              <w:t>Learn and prepare</w:t>
            </w:r>
          </w:p>
        </w:tc>
        <w:tc>
          <w:tcPr>
            <w:tcW w:w="34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6"/>
                <w:szCs w:val="22"/>
              </w:rPr>
              <w:t>Eligibility guides; benefits calculator; forms/publications; how-to guides; videos; FAQs; rights/appeals; fraud/scam guidance.</w:t>
            </w:r>
          </w:p>
        </w:tc>
      </w:tr>
      <w:tr>
        <w:trPr/>
        <w:tc>
          <w:tcPr>
            <w:tcW w:w="3456"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23B7A"/>
                <w:kern w:val="0"/>
                <w:sz w:val="16"/>
                <w:szCs w:val="22"/>
              </w:rPr>
              <w:t>FIND A PROVIDER / OFFICE</w:t>
            </w:r>
          </w:p>
        </w:tc>
        <w:tc>
          <w:tcPr>
            <w:tcW w:w="3456"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6"/>
                <w:szCs w:val="22"/>
              </w:rPr>
              <w:t>Get local or specialized help</w:t>
            </w:r>
          </w:p>
        </w:tc>
        <w:tc>
          <w:tcPr>
            <w:tcW w:w="3456"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6"/>
                <w:szCs w:val="22"/>
              </w:rPr>
              <w:t>Provider search; office locator; mobile offices; filters; accessibility/language; contact options.</w:t>
            </w:r>
          </w:p>
        </w:tc>
      </w:tr>
      <w:tr>
        <w:trPr/>
        <w:tc>
          <w:tcPr>
            <w:tcW w:w="34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6"/>
                <w:szCs w:val="22"/>
              </w:rPr>
              <w:t>WA CARES</w:t>
            </w:r>
          </w:p>
        </w:tc>
        <w:tc>
          <w:tcPr>
            <w:tcW w:w="34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6"/>
                <w:szCs w:val="22"/>
              </w:rPr>
              <w:t>Dedicated future-ready service hub</w:t>
            </w:r>
          </w:p>
        </w:tc>
        <w:tc>
          <w:tcPr>
            <w:tcW w:w="34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6"/>
                <w:szCs w:val="22"/>
              </w:rPr>
              <w:t>Am I eligible; benefit planning; benefit amount/calculator; application; care planning; provider search; portability; out-of-state/international use; account/status; AI guidance.</w:t>
            </w:r>
          </w:p>
        </w:tc>
      </w:tr>
      <w:tr>
        <w:trPr/>
        <w:tc>
          <w:tcPr>
            <w:tcW w:w="3456"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23B7A"/>
                <w:kern w:val="0"/>
                <w:sz w:val="16"/>
                <w:szCs w:val="22"/>
              </w:rPr>
              <w:t>ABOUT DSHS</w:t>
            </w:r>
          </w:p>
        </w:tc>
        <w:tc>
          <w:tcPr>
            <w:tcW w:w="3456"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6"/>
                <w:szCs w:val="22"/>
              </w:rPr>
              <w:t>Agency trust and transparency</w:t>
            </w:r>
          </w:p>
        </w:tc>
        <w:tc>
          <w:tcPr>
            <w:tcW w:w="3456"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6"/>
                <w:szCs w:val="22"/>
              </w:rPr>
              <w:t>Mission; leadership; news; data/reports; policies; careers; procurement; contact; initiatives.</w:t>
            </w:r>
          </w:p>
        </w:tc>
      </w:tr>
    </w:tbl>
    <w:p>
      <w:pPr>
        <w:pStyle w:val="Normal"/>
        <w:rPr/>
      </w:pPr>
      <w:r>
        <w:rPr/>
      </w:r>
    </w:p>
    <w:p>
      <w:pPr>
        <w:pStyle w:val="Heading2"/>
        <w:ind w:hanging="0" w:start="0"/>
        <w:rPr/>
      </w:pPr>
      <w:r>
        <w:rPr/>
        <w:t>IA rule</w:t>
      </w:r>
    </w:p>
    <w:p>
      <w:pPr>
        <w:pStyle w:val="Normal"/>
        <w:rPr/>
      </w:pPr>
      <w:r>
        <w:rPr/>
        <w:t>Do not force users to understand DSHS administration structure before they can act. Administration/program labels remain available for users who know them, but the primary navigation is based on user intent and task completion.</w:t>
      </w:r>
    </w:p>
    <w:p>
      <w:pPr>
        <w:pStyle w:val="Heading1"/>
        <w:ind w:hanging="0" w:start="0"/>
        <w:rPr>
          <w:rFonts w:eastAsia="ＭＳ 明朝" w:cs=""/>
          <w:b/>
          <w:color w:val="FFFFFF"/>
          <w:kern w:val="0"/>
          <w:sz w:val="16"/>
          <w:szCs w:val="22"/>
        </w:rPr>
      </w:pPr>
      <w:r>
        <w:rPr/>
        <w:t>4. Global Navigation</w:t>
      </w:r>
    </w:p>
    <w:tbl>
      <w:tblPr>
        <w:tblW w:w="10367" w:type="dxa"/>
        <w:jc w:val="center"/>
        <w:tblInd w:w="0" w:type="dxa"/>
        <w:tblLayout w:type="fixed"/>
        <w:tblCellMar>
          <w:top w:w="0" w:type="dxa"/>
          <w:start w:w="108" w:type="dxa"/>
          <w:bottom w:w="0" w:type="dxa"/>
          <w:end w:w="108" w:type="dxa"/>
        </w:tblCellMar>
      </w:tblPr>
      <w:tblGrid>
        <w:gridCol w:w="5184"/>
        <w:gridCol w:w="5183"/>
      </w:tblGrid>
      <w:tr>
        <w:trPr/>
        <w:tc>
          <w:tcPr>
            <w:tcW w:w="5184" w:type="dxa"/>
            <w:tcBorders>
              <w:top w:val="single" w:sz="4" w:space="0" w:color="000000"/>
              <w:start w:val="single" w:sz="4" w:space="0" w:color="000000"/>
              <w:bottom w:val="single" w:sz="4" w:space="0" w:color="000000"/>
              <w:end w:val="single" w:sz="4" w:space="0" w:color="000000"/>
            </w:tcBorders>
            <w:shd w:fill="123B7A" w:val="clear"/>
            <w:vAlign w:val="center"/>
          </w:tcPr>
          <w:p>
            <w:pPr>
              <w:pStyle w:val="Normal"/>
              <w:widowControl/>
              <w:spacing w:lineRule="auto" w:line="240" w:before="0" w:after="0"/>
              <w:jc w:val="start"/>
              <w:rPr/>
            </w:pPr>
            <w:r>
              <w:rPr>
                <w:rFonts w:eastAsia="ＭＳ 明朝" w:cs=""/>
                <w:b/>
                <w:color w:val="FFFFFF"/>
                <w:kern w:val="0"/>
                <w:sz w:val="16"/>
                <w:szCs w:val="22"/>
              </w:rPr>
              <w:t>AREA</w:t>
            </w:r>
          </w:p>
        </w:tc>
        <w:tc>
          <w:tcPr>
            <w:tcW w:w="5183" w:type="dxa"/>
            <w:tcBorders>
              <w:top w:val="single" w:sz="4" w:space="0" w:color="000000"/>
              <w:start w:val="single" w:sz="4" w:space="0" w:color="000000"/>
              <w:bottom w:val="single" w:sz="4" w:space="0" w:color="000000"/>
              <w:end w:val="single" w:sz="4" w:space="0" w:color="000000"/>
            </w:tcBorders>
            <w:shd w:fill="123B7A" w:val="clear"/>
            <w:vAlign w:val="center"/>
          </w:tcPr>
          <w:p>
            <w:pPr>
              <w:pStyle w:val="Normal"/>
              <w:widowControl/>
              <w:spacing w:lineRule="auto" w:line="240" w:before="0" w:after="0"/>
              <w:jc w:val="start"/>
              <w:rPr/>
            </w:pPr>
            <w:r>
              <w:rPr>
                <w:rFonts w:eastAsia="ＭＳ 明朝" w:cs=""/>
                <w:b/>
                <w:color w:val="FFFFFF"/>
                <w:kern w:val="0"/>
                <w:sz w:val="16"/>
                <w:szCs w:val="22"/>
              </w:rPr>
              <w:t>RECOMMENDED BEHAVIOR</w:t>
            </w:r>
          </w:p>
        </w:tc>
      </w:tr>
      <w:tr>
        <w:trPr/>
        <w:tc>
          <w:tcPr>
            <w:tcW w:w="51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6"/>
                <w:szCs w:val="22"/>
              </w:rPr>
              <w:t>Utility / top header</w:t>
            </w:r>
          </w:p>
        </w:tc>
        <w:tc>
          <w:tcPr>
            <w:tcW w:w="518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6"/>
                <w:szCs w:val="22"/>
              </w:rPr>
              <w:t>Language • Theme (Day/Night/System) • Accessibility options • Sign in • Emergency/crisis help</w:t>
            </w:r>
          </w:p>
        </w:tc>
      </w:tr>
      <w:tr>
        <w:trPr/>
        <w:tc>
          <w:tcPr>
            <w:tcW w:w="5184"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23B7A"/>
                <w:kern w:val="0"/>
                <w:sz w:val="16"/>
                <w:szCs w:val="22"/>
              </w:rPr>
              <w:t>Primary navigation</w:t>
            </w:r>
          </w:p>
        </w:tc>
        <w:tc>
          <w:tcPr>
            <w:tcW w:w="5183"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6"/>
                <w:szCs w:val="22"/>
              </w:rPr>
              <w:t>Get Help • Manage My Benefits • Services &amp; Programs • Resources &amp; Guidance • Find a Provider/Office • WA Cares • About DSHS</w:t>
            </w:r>
          </w:p>
        </w:tc>
      </w:tr>
      <w:tr>
        <w:trPr/>
        <w:tc>
          <w:tcPr>
            <w:tcW w:w="51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6"/>
                <w:szCs w:val="22"/>
              </w:rPr>
              <w:t>Global search</w:t>
            </w:r>
          </w:p>
        </w:tc>
        <w:tc>
          <w:tcPr>
            <w:tcW w:w="518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6"/>
                <w:szCs w:val="22"/>
              </w:rPr>
              <w:t>AI intent search available everywhere; natural-language questions plus traditional keyword search fallback.</w:t>
            </w:r>
          </w:p>
        </w:tc>
      </w:tr>
      <w:tr>
        <w:trPr/>
        <w:tc>
          <w:tcPr>
            <w:tcW w:w="5184"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23B7A"/>
                <w:kern w:val="0"/>
                <w:sz w:val="16"/>
                <w:szCs w:val="22"/>
              </w:rPr>
              <w:t>Persistent support</w:t>
            </w:r>
          </w:p>
        </w:tc>
        <w:tc>
          <w:tcPr>
            <w:tcW w:w="5183"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6"/>
                <w:szCs w:val="22"/>
              </w:rPr>
              <w:t>Accessibility control bottom-right; help/contact available without hunting through footer.</w:t>
            </w:r>
          </w:p>
        </w:tc>
      </w:tr>
    </w:tbl>
    <w:p>
      <w:pPr>
        <w:pStyle w:val="Normal"/>
        <w:rPr/>
      </w:pPr>
      <w:r>
        <w:rPr/>
      </w:r>
      <w:r>
        <w:br w:type="page"/>
      </w:r>
    </w:p>
    <w:p>
      <w:pPr>
        <w:pStyle w:val="Heading1"/>
        <w:spacing w:before="0" w:after="0"/>
        <w:ind w:hanging="0" w:start="0"/>
        <w:rPr/>
      </w:pPr>
      <w:r>
        <w:rPr/>
        <w:t>5. Proposed Homepage Structure</w:t>
      </w:r>
    </w:p>
    <w:p>
      <w:pPr>
        <w:pStyle w:val="Normal"/>
        <w:rPr>
          <w:rFonts w:eastAsia="ＭＳ 明朝" w:cs=""/>
          <w:b/>
          <w:color w:val="FFFFFF"/>
          <w:kern w:val="0"/>
          <w:sz w:val="16"/>
          <w:szCs w:val="22"/>
        </w:rPr>
      </w:pPr>
      <w:r>
        <w:rPr/>
        <w:t>The homepage is a task launcher, not a directory. The first viewport should help a person describe their need, choose a common task, or enter a trusted pathway within seconds.</w:t>
      </w:r>
    </w:p>
    <w:tbl>
      <w:tblPr>
        <w:tblW w:w="10367" w:type="dxa"/>
        <w:jc w:val="center"/>
        <w:tblInd w:w="0" w:type="dxa"/>
        <w:tblLayout w:type="fixed"/>
        <w:tblCellMar>
          <w:top w:w="0" w:type="dxa"/>
          <w:start w:w="108" w:type="dxa"/>
          <w:bottom w:w="0" w:type="dxa"/>
          <w:end w:w="108" w:type="dxa"/>
        </w:tblCellMar>
      </w:tblPr>
      <w:tblGrid>
        <w:gridCol w:w="5184"/>
        <w:gridCol w:w="5183"/>
      </w:tblGrid>
      <w:tr>
        <w:trPr/>
        <w:tc>
          <w:tcPr>
            <w:tcW w:w="5184" w:type="dxa"/>
            <w:tcBorders>
              <w:top w:val="single" w:sz="4" w:space="0" w:color="000000"/>
              <w:start w:val="single" w:sz="4" w:space="0" w:color="000000"/>
              <w:bottom w:val="single" w:sz="4" w:space="0" w:color="000000"/>
              <w:end w:val="single" w:sz="4" w:space="0" w:color="000000"/>
            </w:tcBorders>
            <w:shd w:fill="123B7A" w:val="clear"/>
            <w:vAlign w:val="center"/>
          </w:tcPr>
          <w:p>
            <w:pPr>
              <w:pStyle w:val="Normal"/>
              <w:widowControl/>
              <w:spacing w:lineRule="auto" w:line="240" w:before="0" w:after="0"/>
              <w:jc w:val="start"/>
              <w:rPr/>
            </w:pPr>
            <w:r>
              <w:rPr>
                <w:rFonts w:eastAsia="ＭＳ 明朝" w:cs=""/>
                <w:b/>
                <w:color w:val="FFFFFF"/>
                <w:kern w:val="0"/>
                <w:sz w:val="16"/>
                <w:szCs w:val="22"/>
              </w:rPr>
              <w:t>MODULE</w:t>
            </w:r>
          </w:p>
        </w:tc>
        <w:tc>
          <w:tcPr>
            <w:tcW w:w="5183" w:type="dxa"/>
            <w:tcBorders>
              <w:top w:val="single" w:sz="4" w:space="0" w:color="000000"/>
              <w:start w:val="single" w:sz="4" w:space="0" w:color="000000"/>
              <w:bottom w:val="single" w:sz="4" w:space="0" w:color="000000"/>
              <w:end w:val="single" w:sz="4" w:space="0" w:color="000000"/>
            </w:tcBorders>
            <w:shd w:fill="123B7A" w:val="clear"/>
            <w:vAlign w:val="center"/>
          </w:tcPr>
          <w:p>
            <w:pPr>
              <w:pStyle w:val="Normal"/>
              <w:widowControl/>
              <w:spacing w:lineRule="auto" w:line="240" w:before="0" w:after="0"/>
              <w:jc w:val="start"/>
              <w:rPr/>
            </w:pPr>
            <w:r>
              <w:rPr>
                <w:rFonts w:eastAsia="ＭＳ 明朝" w:cs=""/>
                <w:b/>
                <w:color w:val="FFFFFF"/>
                <w:kern w:val="0"/>
                <w:sz w:val="16"/>
                <w:szCs w:val="22"/>
              </w:rPr>
              <w:t>PURPOSE / CONTENT</w:t>
            </w:r>
          </w:p>
        </w:tc>
      </w:tr>
      <w:tr>
        <w:trPr/>
        <w:tc>
          <w:tcPr>
            <w:tcW w:w="51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5"/>
                <w:szCs w:val="22"/>
              </w:rPr>
              <w:t>01. Government / utility bar</w:t>
            </w:r>
          </w:p>
        </w:tc>
        <w:tc>
          <w:tcPr>
            <w:tcW w:w="518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5"/>
                <w:szCs w:val="22"/>
              </w:rPr>
              <w:t>Washington State • Language • Day/Night/System • Accessibility • Sign in</w:t>
            </w:r>
          </w:p>
        </w:tc>
      </w:tr>
      <w:tr>
        <w:trPr/>
        <w:tc>
          <w:tcPr>
            <w:tcW w:w="5184"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23B7A"/>
                <w:kern w:val="0"/>
                <w:sz w:val="15"/>
                <w:szCs w:val="22"/>
              </w:rPr>
              <w:t>02. Primary header</w:t>
            </w:r>
          </w:p>
        </w:tc>
        <w:tc>
          <w:tcPr>
            <w:tcW w:w="5183"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5"/>
                <w:szCs w:val="22"/>
              </w:rPr>
              <w:t>DSHS logo • Get Help • Manage My Benefits • Services &amp; Programs • Resources &amp; Guidance • Provider/Office • WA Cares • About • Search</w:t>
            </w:r>
          </w:p>
        </w:tc>
      </w:tr>
      <w:tr>
        <w:trPr/>
        <w:tc>
          <w:tcPr>
            <w:tcW w:w="51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5"/>
                <w:szCs w:val="22"/>
              </w:rPr>
              <w:t>03. Hero + AI intent search</w:t>
            </w:r>
          </w:p>
        </w:tc>
        <w:tc>
          <w:tcPr>
            <w:tcW w:w="518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5"/>
                <w:szCs w:val="22"/>
              </w:rPr>
              <w:t>Headline: “How can we help you today?” Large Google-style search/input. Prompt: “Tell us what you need…” Suggested intents: “I need food help” • “Help caring for my parent” • “Am I eligible for WA Cares?” • “Find a provider.”</w:t>
            </w:r>
          </w:p>
        </w:tc>
      </w:tr>
      <w:tr>
        <w:trPr/>
        <w:tc>
          <w:tcPr>
            <w:tcW w:w="5184"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23B7A"/>
                <w:kern w:val="0"/>
                <w:sz w:val="15"/>
                <w:szCs w:val="22"/>
              </w:rPr>
              <w:t>04. AI response / guidance layer</w:t>
            </w:r>
          </w:p>
        </w:tc>
        <w:tc>
          <w:tcPr>
            <w:tcW w:w="5183"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5"/>
                <w:szCs w:val="22"/>
              </w:rPr>
              <w:t>Return a concise answer, likely programs, eligibility questions, next steps, documents needed and human-help options. Always show source/context and a non-AI pathway.</w:t>
            </w:r>
          </w:p>
        </w:tc>
      </w:tr>
      <w:tr>
        <w:trPr/>
        <w:tc>
          <w:tcPr>
            <w:tcW w:w="51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5"/>
                <w:szCs w:val="22"/>
              </w:rPr>
              <w:t>05. High-intent quick actions</w:t>
            </w:r>
          </w:p>
        </w:tc>
        <w:tc>
          <w:tcPr>
            <w:tcW w:w="518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5"/>
                <w:szCs w:val="22"/>
              </w:rPr>
              <w:t>Apply for benefits • Check application/status • Renew/report changes • Upload documents • Find a local office • Find a provider</w:t>
            </w:r>
          </w:p>
        </w:tc>
      </w:tr>
      <w:tr>
        <w:trPr/>
        <w:tc>
          <w:tcPr>
            <w:tcW w:w="5184"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23B7A"/>
                <w:kern w:val="0"/>
                <w:sz w:val="15"/>
                <w:szCs w:val="22"/>
              </w:rPr>
              <w:t>06. Life-situation entry points</w:t>
            </w:r>
          </w:p>
        </w:tc>
        <w:tc>
          <w:tcPr>
            <w:tcW w:w="5183"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5"/>
                <w:szCs w:val="22"/>
              </w:rPr>
              <w:t>I need help with food • health • housing/cash • disability • aging/caregiving • child/family • work/employment • behavioral health • long-term care</w:t>
            </w:r>
          </w:p>
        </w:tc>
      </w:tr>
      <w:tr>
        <w:trPr/>
        <w:tc>
          <w:tcPr>
            <w:tcW w:w="51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5"/>
                <w:szCs w:val="22"/>
              </w:rPr>
              <w:t>07. Personalized / returning-user zone</w:t>
            </w:r>
          </w:p>
        </w:tc>
        <w:tc>
          <w:tcPr>
            <w:tcW w:w="518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5"/>
                <w:szCs w:val="22"/>
              </w:rPr>
              <w:t>If signed in: “Your next steps,” status, notices, missing documents, upcoming actions. If signed out: “Not sure where to start?” guided questionnaire.</w:t>
            </w:r>
          </w:p>
        </w:tc>
      </w:tr>
      <w:tr>
        <w:trPr/>
        <w:tc>
          <w:tcPr>
            <w:tcW w:w="5184"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23B7A"/>
                <w:kern w:val="0"/>
                <w:sz w:val="15"/>
                <w:szCs w:val="22"/>
              </w:rPr>
              <w:t>08. WA Cares feature</w:t>
            </w:r>
          </w:p>
        </w:tc>
        <w:tc>
          <w:tcPr>
            <w:tcW w:w="5183"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5"/>
                <w:szCs w:val="22"/>
              </w:rPr>
              <w:t>Eligibility/planning • benefit calculator • care planning • provider search • application/status • portability / using benefits outside Washington</w:t>
            </w:r>
          </w:p>
        </w:tc>
      </w:tr>
      <w:tr>
        <w:trPr/>
        <w:tc>
          <w:tcPr>
            <w:tcW w:w="51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5"/>
                <w:szCs w:val="22"/>
              </w:rPr>
              <w:t>09. Find help locally</w:t>
            </w:r>
          </w:p>
        </w:tc>
        <w:tc>
          <w:tcPr>
            <w:tcW w:w="518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5"/>
                <w:szCs w:val="22"/>
              </w:rPr>
              <w:t>Office/provider locator, mobile office information, language/accessibility filters, hours and contact options.</w:t>
            </w:r>
          </w:p>
        </w:tc>
      </w:tr>
      <w:tr>
        <w:trPr/>
        <w:tc>
          <w:tcPr>
            <w:tcW w:w="5184"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23B7A"/>
                <w:kern w:val="0"/>
                <w:sz w:val="15"/>
                <w:szCs w:val="22"/>
              </w:rPr>
              <w:t>10. Resources</w:t>
            </w:r>
          </w:p>
        </w:tc>
        <w:tc>
          <w:tcPr>
            <w:tcW w:w="5183"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5"/>
                <w:szCs w:val="22"/>
              </w:rPr>
              <w:t>Guides • forms • publications • calculator • videos/tutorials • rights/appeals • fraud/scam alerts</w:t>
            </w:r>
          </w:p>
        </w:tc>
      </w:tr>
      <w:tr>
        <w:trPr/>
        <w:tc>
          <w:tcPr>
            <w:tcW w:w="51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5"/>
                <w:szCs w:val="22"/>
              </w:rPr>
              <w:t>11. News / service alerts</w:t>
            </w:r>
          </w:p>
        </w:tc>
        <w:tc>
          <w:tcPr>
            <w:tcW w:w="518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5"/>
                <w:szCs w:val="22"/>
              </w:rPr>
              <w:t>Important changes, deadlines, program updates, emergency/service availability alerts; avoid letting news dominate the task-first homepage.</w:t>
            </w:r>
          </w:p>
        </w:tc>
      </w:tr>
      <w:tr>
        <w:trPr/>
        <w:tc>
          <w:tcPr>
            <w:tcW w:w="5184"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23B7A"/>
                <w:kern w:val="0"/>
                <w:sz w:val="15"/>
                <w:szCs w:val="22"/>
              </w:rPr>
              <w:t>12. Trust + footer</w:t>
            </w:r>
          </w:p>
        </w:tc>
        <w:tc>
          <w:tcPr>
            <w:tcW w:w="5183"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5"/>
                <w:szCs w:val="22"/>
              </w:rPr>
              <w:t>Mission, contact, privacy, accessibility, language, policies, social channels, site map and feedback.</w:t>
            </w:r>
          </w:p>
        </w:tc>
      </w:tr>
    </w:tbl>
    <w:p>
      <w:pPr>
        <w:pStyle w:val="Heading1"/>
        <w:ind w:hanging="0" w:start="0"/>
        <w:rPr>
          <w:rFonts w:eastAsia="ＭＳ 明朝" w:cs=""/>
          <w:b/>
          <w:color w:val="FFFFFF"/>
          <w:kern w:val="0"/>
          <w:sz w:val="16"/>
          <w:szCs w:val="22"/>
        </w:rPr>
      </w:pPr>
      <w:r>
        <w:rPr/>
        <w:t>6. 12-Column Responsive Grid</w:t>
      </w:r>
    </w:p>
    <w:tbl>
      <w:tblPr>
        <w:tblW w:w="10368" w:type="dxa"/>
        <w:jc w:val="center"/>
        <w:tblInd w:w="0" w:type="dxa"/>
        <w:tblLayout w:type="fixed"/>
        <w:tblCellMar>
          <w:top w:w="0" w:type="dxa"/>
          <w:start w:w="108" w:type="dxa"/>
          <w:bottom w:w="0" w:type="dxa"/>
          <w:end w:w="108" w:type="dxa"/>
        </w:tblCellMar>
      </w:tblPr>
      <w:tblGrid>
        <w:gridCol w:w="3456"/>
        <w:gridCol w:w="3456"/>
        <w:gridCol w:w="3456"/>
      </w:tblGrid>
      <w:tr>
        <w:trPr/>
        <w:tc>
          <w:tcPr>
            <w:tcW w:w="3456" w:type="dxa"/>
            <w:tcBorders>
              <w:top w:val="single" w:sz="4" w:space="0" w:color="000000"/>
              <w:start w:val="single" w:sz="4" w:space="0" w:color="000000"/>
              <w:bottom w:val="single" w:sz="4" w:space="0" w:color="000000"/>
              <w:end w:val="single" w:sz="4" w:space="0" w:color="000000"/>
            </w:tcBorders>
            <w:shd w:fill="123B7A" w:val="clear"/>
            <w:vAlign w:val="center"/>
          </w:tcPr>
          <w:p>
            <w:pPr>
              <w:pStyle w:val="Normal"/>
              <w:widowControl/>
              <w:spacing w:lineRule="auto" w:line="240" w:before="0" w:after="0"/>
              <w:jc w:val="start"/>
              <w:rPr/>
            </w:pPr>
            <w:r>
              <w:rPr>
                <w:rFonts w:eastAsia="ＭＳ 明朝" w:cs=""/>
                <w:b/>
                <w:color w:val="FFFFFF"/>
                <w:kern w:val="0"/>
                <w:sz w:val="16"/>
                <w:szCs w:val="22"/>
              </w:rPr>
              <w:t>BREAKPOINT</w:t>
            </w:r>
          </w:p>
        </w:tc>
        <w:tc>
          <w:tcPr>
            <w:tcW w:w="3456" w:type="dxa"/>
            <w:tcBorders>
              <w:top w:val="single" w:sz="4" w:space="0" w:color="000000"/>
              <w:start w:val="single" w:sz="4" w:space="0" w:color="000000"/>
              <w:bottom w:val="single" w:sz="4" w:space="0" w:color="000000"/>
              <w:end w:val="single" w:sz="4" w:space="0" w:color="000000"/>
            </w:tcBorders>
            <w:shd w:fill="123B7A" w:val="clear"/>
            <w:vAlign w:val="center"/>
          </w:tcPr>
          <w:p>
            <w:pPr>
              <w:pStyle w:val="Normal"/>
              <w:widowControl/>
              <w:spacing w:lineRule="auto" w:line="240" w:before="0" w:after="0"/>
              <w:jc w:val="start"/>
              <w:rPr/>
            </w:pPr>
            <w:r>
              <w:rPr>
                <w:rFonts w:eastAsia="ＭＳ 明朝" w:cs=""/>
                <w:b/>
                <w:color w:val="FFFFFF"/>
                <w:kern w:val="0"/>
                <w:sz w:val="16"/>
                <w:szCs w:val="22"/>
              </w:rPr>
              <w:t>GRID</w:t>
            </w:r>
          </w:p>
        </w:tc>
        <w:tc>
          <w:tcPr>
            <w:tcW w:w="3456" w:type="dxa"/>
            <w:tcBorders>
              <w:top w:val="single" w:sz="4" w:space="0" w:color="000000"/>
              <w:start w:val="single" w:sz="4" w:space="0" w:color="000000"/>
              <w:bottom w:val="single" w:sz="4" w:space="0" w:color="000000"/>
              <w:end w:val="single" w:sz="4" w:space="0" w:color="000000"/>
            </w:tcBorders>
            <w:shd w:fill="123B7A" w:val="clear"/>
            <w:vAlign w:val="center"/>
          </w:tcPr>
          <w:p>
            <w:pPr>
              <w:pStyle w:val="Normal"/>
              <w:widowControl/>
              <w:spacing w:lineRule="auto" w:line="240" w:before="0" w:after="0"/>
              <w:jc w:val="start"/>
              <w:rPr/>
            </w:pPr>
            <w:r>
              <w:rPr>
                <w:rFonts w:eastAsia="ＭＳ 明朝" w:cs=""/>
                <w:b/>
                <w:color w:val="FFFFFF"/>
                <w:kern w:val="0"/>
                <w:sz w:val="16"/>
                <w:szCs w:val="22"/>
              </w:rPr>
              <w:t>UX BEHAVIOR</w:t>
            </w:r>
          </w:p>
        </w:tc>
      </w:tr>
      <w:tr>
        <w:trPr/>
        <w:tc>
          <w:tcPr>
            <w:tcW w:w="34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6"/>
                <w:szCs w:val="22"/>
              </w:rPr>
              <w:t>Desktop ≥1200px</w:t>
            </w:r>
          </w:p>
        </w:tc>
        <w:tc>
          <w:tcPr>
            <w:tcW w:w="34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677C8"/>
                <w:kern w:val="0"/>
                <w:sz w:val="16"/>
                <w:szCs w:val="22"/>
              </w:rPr>
              <w:t>12 columns</w:t>
            </w:r>
          </w:p>
        </w:tc>
        <w:tc>
          <w:tcPr>
            <w:tcW w:w="34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6"/>
                <w:szCs w:val="22"/>
              </w:rPr>
              <w:t>Max content width 1200–1280px; 24px gutters; 8px spacing system.</w:t>
            </w:r>
          </w:p>
        </w:tc>
      </w:tr>
      <w:tr>
        <w:trPr/>
        <w:tc>
          <w:tcPr>
            <w:tcW w:w="3456"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23B7A"/>
                <w:kern w:val="0"/>
                <w:sz w:val="16"/>
                <w:szCs w:val="22"/>
              </w:rPr>
              <w:t>Tablet 768–1199px</w:t>
            </w:r>
          </w:p>
        </w:tc>
        <w:tc>
          <w:tcPr>
            <w:tcW w:w="3456"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677C8"/>
                <w:kern w:val="0"/>
                <w:sz w:val="16"/>
                <w:szCs w:val="22"/>
              </w:rPr>
              <w:t>6 columns</w:t>
            </w:r>
          </w:p>
        </w:tc>
        <w:tc>
          <w:tcPr>
            <w:tcW w:w="3456"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6"/>
                <w:szCs w:val="22"/>
              </w:rPr>
              <w:t>Collapse navigation; preserve AI search as primary entry point; 16–20px gutters.</w:t>
            </w:r>
          </w:p>
        </w:tc>
      </w:tr>
      <w:tr>
        <w:trPr/>
        <w:tc>
          <w:tcPr>
            <w:tcW w:w="34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6"/>
                <w:szCs w:val="22"/>
              </w:rPr>
              <w:t>Mobile ≤767px</w:t>
            </w:r>
          </w:p>
        </w:tc>
        <w:tc>
          <w:tcPr>
            <w:tcW w:w="34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677C8"/>
                <w:kern w:val="0"/>
                <w:sz w:val="16"/>
                <w:szCs w:val="22"/>
              </w:rPr>
              <w:t>4 columns</w:t>
            </w:r>
          </w:p>
        </w:tc>
        <w:tc>
          <w:tcPr>
            <w:tcW w:w="345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6"/>
                <w:szCs w:val="22"/>
              </w:rPr>
              <w:t>Stack cards; sticky search/action access; 16px outer padding; minimum 44×44px targets.</w:t>
            </w:r>
          </w:p>
        </w:tc>
      </w:tr>
      <w:tr>
        <w:trPr/>
        <w:tc>
          <w:tcPr>
            <w:tcW w:w="3456"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23B7A"/>
                <w:kern w:val="0"/>
                <w:sz w:val="16"/>
                <w:szCs w:val="22"/>
              </w:rPr>
              <w:t>Large content</w:t>
            </w:r>
          </w:p>
        </w:tc>
        <w:tc>
          <w:tcPr>
            <w:tcW w:w="3456"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677C8"/>
                <w:kern w:val="0"/>
                <w:sz w:val="16"/>
                <w:szCs w:val="22"/>
              </w:rPr>
              <w:t>12-column span</w:t>
            </w:r>
          </w:p>
        </w:tc>
        <w:tc>
          <w:tcPr>
            <w:tcW w:w="3456"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6"/>
                <w:szCs w:val="22"/>
              </w:rPr>
              <w:t>Hero/search and major journey sections use 8–12 columns; supporting cards use 3–4 columns.</w:t>
            </w:r>
          </w:p>
        </w:tc>
      </w:tr>
    </w:tbl>
    <w:p>
      <w:pPr>
        <w:pStyle w:val="Normal"/>
        <w:rPr/>
      </w:pPr>
      <w:r>
        <w:rPr/>
      </w:r>
      <w:r>
        <w:br w:type="page"/>
      </w:r>
    </w:p>
    <w:p>
      <w:pPr>
        <w:pStyle w:val="Heading1"/>
        <w:spacing w:before="0" w:after="0"/>
        <w:ind w:hanging="0" w:start="0"/>
        <w:rPr/>
      </w:pPr>
      <w:r>
        <w:rPr/>
        <w:t>7. AI User-Intent Search: Recommended Experience</w:t>
      </w:r>
    </w:p>
    <w:p>
      <w:pPr>
        <w:pStyle w:val="Normal"/>
        <w:rPr>
          <w:rFonts w:eastAsia="ＭＳ 明朝" w:cs=""/>
          <w:b/>
          <w:color w:val="FFFFFF"/>
          <w:kern w:val="0"/>
          <w:sz w:val="16"/>
          <w:szCs w:val="22"/>
        </w:rPr>
      </w:pPr>
      <w:r>
        <w:rPr/>
        <w:t>The RFQQ explicitly anticipates AI support and an AI agent to guide people entering the long-term-care delivery system. The homepage search should therefore be more than keyword search: it should be a guided intent layer.</w:t>
      </w:r>
    </w:p>
    <w:tbl>
      <w:tblPr>
        <w:tblW w:w="10367" w:type="dxa"/>
        <w:jc w:val="center"/>
        <w:tblInd w:w="0" w:type="dxa"/>
        <w:tblLayout w:type="fixed"/>
        <w:tblCellMar>
          <w:top w:w="0" w:type="dxa"/>
          <w:start w:w="108" w:type="dxa"/>
          <w:bottom w:w="0" w:type="dxa"/>
          <w:end w:w="108" w:type="dxa"/>
        </w:tblCellMar>
      </w:tblPr>
      <w:tblGrid>
        <w:gridCol w:w="5184"/>
        <w:gridCol w:w="5183"/>
      </w:tblGrid>
      <w:tr>
        <w:trPr/>
        <w:tc>
          <w:tcPr>
            <w:tcW w:w="5184" w:type="dxa"/>
            <w:tcBorders>
              <w:top w:val="single" w:sz="4" w:space="0" w:color="000000"/>
              <w:start w:val="single" w:sz="4" w:space="0" w:color="000000"/>
              <w:bottom w:val="single" w:sz="4" w:space="0" w:color="000000"/>
              <w:end w:val="single" w:sz="4" w:space="0" w:color="000000"/>
            </w:tcBorders>
            <w:shd w:fill="123B7A" w:val="clear"/>
            <w:vAlign w:val="center"/>
          </w:tcPr>
          <w:p>
            <w:pPr>
              <w:pStyle w:val="Normal"/>
              <w:widowControl/>
              <w:spacing w:lineRule="auto" w:line="240" w:before="0" w:after="0"/>
              <w:jc w:val="start"/>
              <w:rPr/>
            </w:pPr>
            <w:r>
              <w:rPr>
                <w:rFonts w:eastAsia="ＭＳ 明朝" w:cs=""/>
                <w:b/>
                <w:color w:val="FFFFFF"/>
                <w:kern w:val="0"/>
                <w:sz w:val="16"/>
                <w:szCs w:val="22"/>
              </w:rPr>
              <w:t>STEP</w:t>
            </w:r>
          </w:p>
        </w:tc>
        <w:tc>
          <w:tcPr>
            <w:tcW w:w="5183" w:type="dxa"/>
            <w:tcBorders>
              <w:top w:val="single" w:sz="4" w:space="0" w:color="000000"/>
              <w:start w:val="single" w:sz="4" w:space="0" w:color="000000"/>
              <w:bottom w:val="single" w:sz="4" w:space="0" w:color="000000"/>
              <w:end w:val="single" w:sz="4" w:space="0" w:color="000000"/>
            </w:tcBorders>
            <w:shd w:fill="123B7A" w:val="clear"/>
            <w:vAlign w:val="center"/>
          </w:tcPr>
          <w:p>
            <w:pPr>
              <w:pStyle w:val="Normal"/>
              <w:widowControl/>
              <w:spacing w:lineRule="auto" w:line="240" w:before="0" w:after="0"/>
              <w:jc w:val="start"/>
              <w:rPr/>
            </w:pPr>
            <w:r>
              <w:rPr>
                <w:rFonts w:eastAsia="ＭＳ 明朝" w:cs=""/>
                <w:b/>
                <w:color w:val="FFFFFF"/>
                <w:kern w:val="0"/>
                <w:sz w:val="16"/>
                <w:szCs w:val="22"/>
              </w:rPr>
              <w:t>EXPERIENCE</w:t>
            </w:r>
          </w:p>
        </w:tc>
      </w:tr>
      <w:tr>
        <w:trPr/>
        <w:tc>
          <w:tcPr>
            <w:tcW w:w="51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6"/>
                <w:szCs w:val="22"/>
              </w:rPr>
              <w:t>Input</w:t>
            </w:r>
          </w:p>
        </w:tc>
        <w:tc>
          <w:tcPr>
            <w:tcW w:w="518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6"/>
                <w:szCs w:val="22"/>
              </w:rPr>
              <w:t>“</w:t>
            </w:r>
            <w:r>
              <w:rPr>
                <w:rFonts w:eastAsia="ＭＳ 明朝" w:cs=""/>
                <w:b w:val="false"/>
                <w:color w:val="172033"/>
                <w:kern w:val="0"/>
                <w:sz w:val="16"/>
                <w:szCs w:val="22"/>
              </w:rPr>
              <w:t>I’m taking care of my mother and need help paying for care.”</w:t>
            </w:r>
          </w:p>
        </w:tc>
      </w:tr>
      <w:tr>
        <w:trPr/>
        <w:tc>
          <w:tcPr>
            <w:tcW w:w="5184"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23B7A"/>
                <w:kern w:val="0"/>
                <w:sz w:val="16"/>
                <w:szCs w:val="22"/>
              </w:rPr>
              <w:t>Intent detection</w:t>
            </w:r>
          </w:p>
        </w:tc>
        <w:tc>
          <w:tcPr>
            <w:tcW w:w="5183"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6"/>
                <w:szCs w:val="22"/>
              </w:rPr>
              <w:t>Identify likely intents: caregiver support + long-term care + financial/benefit assistance.</w:t>
            </w:r>
          </w:p>
        </w:tc>
      </w:tr>
      <w:tr>
        <w:trPr/>
        <w:tc>
          <w:tcPr>
            <w:tcW w:w="51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6"/>
                <w:szCs w:val="22"/>
              </w:rPr>
              <w:t>Clarify only when needed</w:t>
            </w:r>
          </w:p>
        </w:tc>
        <w:tc>
          <w:tcPr>
            <w:tcW w:w="518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6"/>
                <w:szCs w:val="22"/>
              </w:rPr>
              <w:t>Ask 1–3 plain-language questions, such as age, location and whether the person already receives benefits.</w:t>
            </w:r>
          </w:p>
        </w:tc>
      </w:tr>
      <w:tr>
        <w:trPr/>
        <w:tc>
          <w:tcPr>
            <w:tcW w:w="5184"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23B7A"/>
                <w:kern w:val="0"/>
                <w:sz w:val="16"/>
                <w:szCs w:val="22"/>
              </w:rPr>
              <w:t>Guide</w:t>
            </w:r>
          </w:p>
        </w:tc>
        <w:tc>
          <w:tcPr>
            <w:tcW w:w="5183"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6"/>
                <w:szCs w:val="22"/>
              </w:rPr>
              <w:t>Return the most relevant pathways, eligibility information, documents, next actions and human support.</w:t>
            </w:r>
          </w:p>
        </w:tc>
      </w:tr>
      <w:tr>
        <w:trPr/>
        <w:tc>
          <w:tcPr>
            <w:tcW w:w="51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6"/>
                <w:szCs w:val="22"/>
              </w:rPr>
              <w:t>Act</w:t>
            </w:r>
          </w:p>
        </w:tc>
        <w:tc>
          <w:tcPr>
            <w:tcW w:w="518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6"/>
                <w:szCs w:val="22"/>
              </w:rPr>
              <w:t>Start application, calculate benefits, find a provider, book/contact an office, upload documents or sign in.</w:t>
            </w:r>
          </w:p>
        </w:tc>
      </w:tr>
      <w:tr>
        <w:trPr/>
        <w:tc>
          <w:tcPr>
            <w:tcW w:w="5184"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23B7A"/>
                <w:kern w:val="0"/>
                <w:sz w:val="16"/>
                <w:szCs w:val="22"/>
              </w:rPr>
              <w:t>Continue</w:t>
            </w:r>
          </w:p>
        </w:tc>
        <w:tc>
          <w:tcPr>
            <w:tcW w:w="5183"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6"/>
                <w:szCs w:val="22"/>
              </w:rPr>
              <w:t>If authenticated, connect guidance to the user's tasks/status instead of restarting the journey.</w:t>
            </w:r>
          </w:p>
        </w:tc>
      </w:tr>
    </w:tbl>
    <w:p>
      <w:pPr>
        <w:pStyle w:val="Heading2"/>
        <w:ind w:hanging="0" w:start="0"/>
        <w:rPr/>
      </w:pPr>
      <w:r>
        <w:rPr/>
        <w:t>AI guardrails</w:t>
      </w:r>
    </w:p>
    <w:p>
      <w:pPr>
        <w:pStyle w:val="ListBullet"/>
        <w:numPr>
          <w:ilvl w:val="0"/>
          <w:numId w:val="2"/>
        </w:numPr>
        <w:spacing w:before="0" w:after="40"/>
        <w:ind w:hanging="360" w:start="317" w:end="0"/>
        <w:contextualSpacing/>
        <w:rPr/>
      </w:pPr>
      <w:r>
        <w:rPr/>
        <w:t>Never present AI output as an eligibility or benefits determination unless the authoritative system confirms it.</w:t>
      </w:r>
    </w:p>
    <w:p>
      <w:pPr>
        <w:pStyle w:val="ListBullet"/>
        <w:numPr>
          <w:ilvl w:val="0"/>
          <w:numId w:val="2"/>
        </w:numPr>
        <w:spacing w:before="0" w:after="40"/>
        <w:ind w:hanging="360" w:start="317" w:end="0"/>
        <w:contextualSpacing/>
        <w:rPr/>
      </w:pPr>
      <w:r>
        <w:rPr/>
        <w:t>Show authoritative DSHS source links/context for informational answers.</w:t>
      </w:r>
    </w:p>
    <w:p>
      <w:pPr>
        <w:pStyle w:val="ListBullet"/>
        <w:numPr>
          <w:ilvl w:val="0"/>
          <w:numId w:val="2"/>
        </w:numPr>
        <w:spacing w:before="0" w:after="40"/>
        <w:ind w:hanging="360" w:start="317" w:end="0"/>
        <w:contextualSpacing/>
        <w:rPr/>
      </w:pPr>
      <w:r>
        <w:rPr/>
        <w:t>Provide a visible “Talk to a person / contact DSHS” path at every high-risk or uncertain point.</w:t>
      </w:r>
    </w:p>
    <w:p>
      <w:pPr>
        <w:pStyle w:val="ListBullet"/>
        <w:numPr>
          <w:ilvl w:val="0"/>
          <w:numId w:val="2"/>
        </w:numPr>
        <w:spacing w:before="0" w:after="40"/>
        <w:ind w:hanging="360" w:start="317" w:end="0"/>
        <w:contextualSpacing/>
        <w:rPr/>
      </w:pPr>
      <w:r>
        <w:rPr/>
        <w:t>Do not require users to disclose unnecessary sensitive information in open-ended search.</w:t>
      </w:r>
    </w:p>
    <w:p>
      <w:pPr>
        <w:pStyle w:val="ListBullet"/>
        <w:numPr>
          <w:ilvl w:val="0"/>
          <w:numId w:val="2"/>
        </w:numPr>
        <w:spacing w:before="0" w:after="40"/>
        <w:ind w:hanging="360" w:start="317" w:end="0"/>
        <w:contextualSpacing/>
        <w:rPr/>
      </w:pPr>
      <w:r>
        <w:rPr/>
        <w:t>Provide language/accessibility parity and keyboard/screen-reader support.</w:t>
      </w:r>
    </w:p>
    <w:p>
      <w:pPr>
        <w:pStyle w:val="ListBullet"/>
        <w:numPr>
          <w:ilvl w:val="0"/>
          <w:numId w:val="2"/>
        </w:numPr>
        <w:spacing w:before="0" w:after="40"/>
        <w:ind w:hanging="360" w:start="317" w:end="0"/>
        <w:contextualSpacing/>
        <w:rPr/>
      </w:pPr>
      <w:r>
        <w:rPr/>
        <w:t>Log feedback and unresolved intents so the AI/search experience continuously improves.</w:t>
      </w:r>
    </w:p>
    <w:p>
      <w:pPr>
        <w:pStyle w:val="Heading1"/>
        <w:ind w:hanging="0" w:start="0"/>
        <w:rPr/>
      </w:pPr>
      <w:r>
        <w:rPr/>
        <w:t>8. Accessibility + Inclusion Architecture</w:t>
      </w:r>
    </w:p>
    <w:p>
      <w:pPr>
        <w:pStyle w:val="ListBullet"/>
        <w:numPr>
          <w:ilvl w:val="0"/>
          <w:numId w:val="2"/>
        </w:numPr>
        <w:spacing w:before="0" w:after="40"/>
        <w:ind w:hanging="360" w:start="317" w:end="0"/>
        <w:contextualSpacing/>
        <w:rPr/>
      </w:pPr>
      <w:r>
        <w:rPr/>
        <w:t>Persistent accessibility button at bottom-right on every page.</w:t>
      </w:r>
    </w:p>
    <w:p>
      <w:pPr>
        <w:pStyle w:val="ListBullet"/>
        <w:numPr>
          <w:ilvl w:val="0"/>
          <w:numId w:val="2"/>
        </w:numPr>
        <w:spacing w:before="0" w:after="40"/>
        <w:ind w:hanging="360" w:start="317" w:end="0"/>
        <w:contextualSpacing/>
        <w:rPr/>
      </w:pPr>
      <w:r>
        <w:rPr/>
        <w:t>WCAG 2.2 testing built into the design and delivery lifecycle, matching the RFQQ scope.</w:t>
      </w:r>
    </w:p>
    <w:p>
      <w:pPr>
        <w:pStyle w:val="ListBullet"/>
        <w:numPr>
          <w:ilvl w:val="0"/>
          <w:numId w:val="2"/>
        </w:numPr>
        <w:spacing w:before="0" w:after="40"/>
        <w:ind w:hanging="360" w:start="317" w:end="0"/>
        <w:contextualSpacing/>
        <w:rPr/>
      </w:pPr>
      <w:r>
        <w:rPr/>
        <w:t>Language selector in the global header; language preference persists across sessions where appropriate.</w:t>
      </w:r>
    </w:p>
    <w:p>
      <w:pPr>
        <w:pStyle w:val="ListBullet"/>
        <w:numPr>
          <w:ilvl w:val="0"/>
          <w:numId w:val="2"/>
        </w:numPr>
        <w:spacing w:before="0" w:after="40"/>
        <w:ind w:hanging="360" w:start="317" w:end="0"/>
        <w:contextualSpacing/>
        <w:rPr/>
      </w:pPr>
      <w:r>
        <w:rPr/>
        <w:t>Readable typography, strong contrast, visible focus, keyboard navigation, semantic headings, descriptive link text and accessible forms.</w:t>
      </w:r>
    </w:p>
    <w:p>
      <w:pPr>
        <w:pStyle w:val="ListBullet"/>
        <w:numPr>
          <w:ilvl w:val="0"/>
          <w:numId w:val="2"/>
        </w:numPr>
        <w:spacing w:before="0" w:after="40"/>
        <w:ind w:hanging="360" w:start="317" w:end="0"/>
        <w:contextualSpacing/>
        <w:rPr/>
      </w:pPr>
      <w:r>
        <w:rPr/>
        <w:t>Captions/transcripts for video; alternative formats for key publications; accessible PDFs/forms.</w:t>
      </w:r>
    </w:p>
    <w:p>
      <w:pPr>
        <w:pStyle w:val="ListBullet"/>
        <w:numPr>
          <w:ilvl w:val="0"/>
          <w:numId w:val="2"/>
        </w:numPr>
        <w:spacing w:before="0" w:after="40"/>
        <w:ind w:hanging="360" w:start="317" w:end="0"/>
        <w:contextualSpacing/>
        <w:rPr/>
      </w:pPr>
      <w:r>
        <w:rPr/>
        <w:t>Plain-language summaries before detailed policy/eligibility content.</w:t>
      </w:r>
    </w:p>
    <w:p>
      <w:pPr>
        <w:pStyle w:val="ListBullet"/>
        <w:numPr>
          <w:ilvl w:val="0"/>
          <w:numId w:val="2"/>
        </w:numPr>
        <w:spacing w:before="0" w:after="40"/>
        <w:ind w:hanging="360" w:start="317" w:end="0"/>
        <w:contextualSpacing/>
        <w:rPr/>
      </w:pPr>
      <w:r>
        <w:rPr/>
        <w:t>Do not rely on color alone for status or meaning.</w:t>
      </w:r>
    </w:p>
    <w:p>
      <w:pPr>
        <w:pStyle w:val="ListBullet"/>
        <w:numPr>
          <w:ilvl w:val="0"/>
          <w:numId w:val="2"/>
        </w:numPr>
        <w:spacing w:before="0" w:after="40"/>
        <w:ind w:hanging="360" w:start="317" w:end="0"/>
        <w:contextualSpacing/>
        <w:rPr/>
      </w:pPr>
      <w:r>
        <w:rPr/>
        <w:t>Design proxy journeys for caregivers/family members and providers acting on behalf of someone else.</w:t>
      </w:r>
    </w:p>
    <w:p>
      <w:pPr>
        <w:pStyle w:val="Heading1"/>
        <w:ind w:hanging="0" w:start="0"/>
        <w:rPr/>
      </w:pPr>
      <w:r>
        <w:rPr/>
        <w:t>9. Day / Night / System Theme</w:t>
      </w:r>
    </w:p>
    <w:p>
      <w:pPr>
        <w:pStyle w:val="Normal"/>
        <w:rPr/>
      </w:pPr>
      <w:r>
        <w:rPr/>
        <w:t>Provide a three-state theme control: Light / Dark / System. Preserve accessible contrast and semantic color tokens in both modes. Theme selection should not reduce readability, change meaning, or hide critical alerts.</w:t>
      </w:r>
    </w:p>
    <w:p>
      <w:pPr>
        <w:pStyle w:val="Normal"/>
        <w:rPr/>
      </w:pPr>
      <w:r>
        <w:rPr/>
      </w:r>
      <w:r>
        <w:br w:type="page"/>
      </w:r>
    </w:p>
    <w:p>
      <w:pPr>
        <w:pStyle w:val="Heading1"/>
        <w:spacing w:before="0" w:after="0"/>
        <w:ind w:hanging="0" w:start="0"/>
        <w:rPr>
          <w:rFonts w:eastAsia="ＭＳ 明朝" w:cs=""/>
          <w:b/>
          <w:color w:val="FFFFFF"/>
          <w:kern w:val="0"/>
          <w:sz w:val="16"/>
          <w:szCs w:val="22"/>
        </w:rPr>
      </w:pPr>
      <w:r>
        <w:rPr/>
        <w:t>10. RFP Scope-to-Architecture Traceability</w:t>
      </w:r>
    </w:p>
    <w:tbl>
      <w:tblPr>
        <w:tblW w:w="10367" w:type="dxa"/>
        <w:jc w:val="center"/>
        <w:tblInd w:w="0" w:type="dxa"/>
        <w:tblLayout w:type="fixed"/>
        <w:tblCellMar>
          <w:top w:w="0" w:type="dxa"/>
          <w:start w:w="108" w:type="dxa"/>
          <w:bottom w:w="0" w:type="dxa"/>
          <w:end w:w="108" w:type="dxa"/>
        </w:tblCellMar>
      </w:tblPr>
      <w:tblGrid>
        <w:gridCol w:w="5184"/>
        <w:gridCol w:w="5183"/>
      </w:tblGrid>
      <w:tr>
        <w:trPr/>
        <w:tc>
          <w:tcPr>
            <w:tcW w:w="5184" w:type="dxa"/>
            <w:tcBorders>
              <w:top w:val="single" w:sz="4" w:space="0" w:color="000000"/>
              <w:start w:val="single" w:sz="4" w:space="0" w:color="000000"/>
              <w:bottom w:val="single" w:sz="4" w:space="0" w:color="000000"/>
              <w:end w:val="single" w:sz="4" w:space="0" w:color="000000"/>
            </w:tcBorders>
            <w:shd w:fill="123B7A" w:val="clear"/>
            <w:vAlign w:val="center"/>
          </w:tcPr>
          <w:p>
            <w:pPr>
              <w:pStyle w:val="Normal"/>
              <w:widowControl/>
              <w:spacing w:lineRule="auto" w:line="240" w:before="0" w:after="0"/>
              <w:jc w:val="start"/>
              <w:rPr/>
            </w:pPr>
            <w:r>
              <w:rPr>
                <w:rFonts w:eastAsia="ＭＳ 明朝" w:cs=""/>
                <w:b/>
                <w:color w:val="FFFFFF"/>
                <w:kern w:val="0"/>
                <w:sz w:val="16"/>
                <w:szCs w:val="22"/>
              </w:rPr>
              <w:t>RFQQ ASK</w:t>
            </w:r>
          </w:p>
        </w:tc>
        <w:tc>
          <w:tcPr>
            <w:tcW w:w="5183" w:type="dxa"/>
            <w:tcBorders>
              <w:top w:val="single" w:sz="4" w:space="0" w:color="000000"/>
              <w:start w:val="single" w:sz="4" w:space="0" w:color="000000"/>
              <w:bottom w:val="single" w:sz="4" w:space="0" w:color="000000"/>
              <w:end w:val="single" w:sz="4" w:space="0" w:color="000000"/>
            </w:tcBorders>
            <w:shd w:fill="123B7A" w:val="clear"/>
            <w:vAlign w:val="center"/>
          </w:tcPr>
          <w:p>
            <w:pPr>
              <w:pStyle w:val="Normal"/>
              <w:widowControl/>
              <w:spacing w:lineRule="auto" w:line="240" w:before="0" w:after="0"/>
              <w:jc w:val="start"/>
              <w:rPr/>
            </w:pPr>
            <w:r>
              <w:rPr>
                <w:rFonts w:eastAsia="ＭＳ 明朝" w:cs=""/>
                <w:b/>
                <w:color w:val="FFFFFF"/>
                <w:kern w:val="0"/>
                <w:sz w:val="16"/>
                <w:szCs w:val="22"/>
              </w:rPr>
              <w:t>HOW THE IA/HOMEPAGE RESPONDS</w:t>
            </w:r>
          </w:p>
        </w:tc>
      </w:tr>
      <w:tr>
        <w:trPr/>
        <w:tc>
          <w:tcPr>
            <w:tcW w:w="51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5"/>
                <w:szCs w:val="22"/>
              </w:rPr>
              <w:t>Discovery</w:t>
            </w:r>
          </w:p>
        </w:tc>
        <w:tc>
          <w:tcPr>
            <w:tcW w:w="518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5"/>
                <w:szCs w:val="22"/>
              </w:rPr>
              <w:t>Homepage and IA are hypotheses to validate through interviews, analytics, stakeholder workshops and usability research.</w:t>
            </w:r>
          </w:p>
        </w:tc>
      </w:tr>
      <w:tr>
        <w:trPr/>
        <w:tc>
          <w:tcPr>
            <w:tcW w:w="5184"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23B7A"/>
                <w:kern w:val="0"/>
                <w:sz w:val="15"/>
                <w:szCs w:val="22"/>
              </w:rPr>
              <w:t>Assessment</w:t>
            </w:r>
          </w:p>
        </w:tc>
        <w:tc>
          <w:tcPr>
            <w:tcW w:w="5183"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5"/>
                <w:szCs w:val="22"/>
              </w:rPr>
              <w:t>Audit current navigation, search, provider search, benefits calculator, WA Cares properties and cross-channel flows.</w:t>
            </w:r>
          </w:p>
        </w:tc>
      </w:tr>
      <w:tr>
        <w:trPr/>
        <w:tc>
          <w:tcPr>
            <w:tcW w:w="51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5"/>
                <w:szCs w:val="22"/>
              </w:rPr>
              <w:t>Stakeholder engagement</w:t>
            </w:r>
          </w:p>
        </w:tc>
        <w:tc>
          <w:tcPr>
            <w:tcW w:w="518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5"/>
                <w:szCs w:val="22"/>
              </w:rPr>
              <w:t>Validate IA with WA Cares, HCLA, service administrations, call-center/field staff, providers, caregivers and clients.</w:t>
            </w:r>
          </w:p>
        </w:tc>
      </w:tr>
      <w:tr>
        <w:trPr/>
        <w:tc>
          <w:tcPr>
            <w:tcW w:w="5184"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23B7A"/>
                <w:kern w:val="0"/>
                <w:sz w:val="15"/>
                <w:szCs w:val="22"/>
              </w:rPr>
              <w:t>Strategic project plan</w:t>
            </w:r>
          </w:p>
        </w:tc>
        <w:tc>
          <w:tcPr>
            <w:tcW w:w="5183"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5"/>
                <w:szCs w:val="22"/>
              </w:rPr>
              <w:t>Prioritize architecture, journeys, content, service integration, AI, provider search, calculator and accessibility work.</w:t>
            </w:r>
          </w:p>
        </w:tc>
      </w:tr>
      <w:tr>
        <w:trPr/>
        <w:tc>
          <w:tcPr>
            <w:tcW w:w="51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5"/>
                <w:szCs w:val="22"/>
              </w:rPr>
              <w:t>User journey mapping</w:t>
            </w:r>
          </w:p>
        </w:tc>
        <w:tc>
          <w:tcPr>
            <w:tcW w:w="518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5"/>
                <w:szCs w:val="22"/>
              </w:rPr>
              <w:t>Map Need → Discover → Understand → Apply → Wait → Verify → Receive → Manage; create WA Cares-specific journeys.</w:t>
            </w:r>
          </w:p>
        </w:tc>
      </w:tr>
      <w:tr>
        <w:trPr/>
        <w:tc>
          <w:tcPr>
            <w:tcW w:w="5184"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23B7A"/>
                <w:kern w:val="0"/>
                <w:sz w:val="15"/>
                <w:szCs w:val="22"/>
              </w:rPr>
              <w:t>Wireframes</w:t>
            </w:r>
          </w:p>
        </w:tc>
        <w:tc>
          <w:tcPr>
            <w:tcW w:w="5183"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5"/>
                <w:szCs w:val="22"/>
              </w:rPr>
              <w:t>Homepage, AI search, results/guidance, benefit dashboard, provider search, calculator and key application flows.</w:t>
            </w:r>
          </w:p>
        </w:tc>
      </w:tr>
      <w:tr>
        <w:trPr/>
        <w:tc>
          <w:tcPr>
            <w:tcW w:w="51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5"/>
                <w:szCs w:val="22"/>
              </w:rPr>
              <w:t>User testing</w:t>
            </w:r>
          </w:p>
        </w:tc>
        <w:tc>
          <w:tcPr>
            <w:tcW w:w="518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5"/>
                <w:szCs w:val="22"/>
              </w:rPr>
              <w:t>Test prototypes and live experiences with current/potential users; measure comprehension, completion and confidence.</w:t>
            </w:r>
          </w:p>
        </w:tc>
      </w:tr>
      <w:tr>
        <w:trPr/>
        <w:tc>
          <w:tcPr>
            <w:tcW w:w="5184"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23B7A"/>
                <w:kern w:val="0"/>
                <w:sz w:val="15"/>
                <w:szCs w:val="22"/>
              </w:rPr>
              <w:t>User interviews/research</w:t>
            </w:r>
          </w:p>
        </w:tc>
        <w:tc>
          <w:tcPr>
            <w:tcW w:w="5183"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5"/>
                <w:szCs w:val="22"/>
              </w:rPr>
              <w:t>Validate personas, mental models, terminology, barriers, motivations and cross-program needs.</w:t>
            </w:r>
          </w:p>
        </w:tc>
      </w:tr>
      <w:tr>
        <w:trPr/>
        <w:tc>
          <w:tcPr>
            <w:tcW w:w="51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5"/>
                <w:szCs w:val="22"/>
              </w:rPr>
              <w:t>Usability testing</w:t>
            </w:r>
          </w:p>
        </w:tc>
        <w:tc>
          <w:tcPr>
            <w:tcW w:w="518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5"/>
                <w:szCs w:val="22"/>
              </w:rPr>
              <w:t>Test task completion, findability, error recovery, forms, status, document submission and mobile flows.</w:t>
            </w:r>
          </w:p>
        </w:tc>
      </w:tr>
      <w:tr>
        <w:trPr/>
        <w:tc>
          <w:tcPr>
            <w:tcW w:w="5184"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23B7A"/>
                <w:kern w:val="0"/>
                <w:sz w:val="15"/>
                <w:szCs w:val="22"/>
              </w:rPr>
              <w:t>Accessibility testing</w:t>
            </w:r>
          </w:p>
        </w:tc>
        <w:tc>
          <w:tcPr>
            <w:tcW w:w="5183"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5"/>
                <w:szCs w:val="22"/>
              </w:rPr>
              <w:t>Evaluate against WCAG 2.2; include assistive technology and keyboard testing.</w:t>
            </w:r>
          </w:p>
        </w:tc>
      </w:tr>
      <w:tr>
        <w:trPr/>
        <w:tc>
          <w:tcPr>
            <w:tcW w:w="51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5"/>
                <w:szCs w:val="22"/>
              </w:rPr>
              <w:t>Benefits portability</w:t>
            </w:r>
          </w:p>
        </w:tc>
        <w:tc>
          <w:tcPr>
            <w:tcW w:w="518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5"/>
                <w:szCs w:val="22"/>
              </w:rPr>
              <w:t>Create a dedicated WA Cares portability pathway for people living/retiring outside Washington, including future national/international use.</w:t>
            </w:r>
          </w:p>
        </w:tc>
      </w:tr>
      <w:tr>
        <w:trPr/>
        <w:tc>
          <w:tcPr>
            <w:tcW w:w="5184"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23B7A"/>
                <w:kern w:val="0"/>
                <w:sz w:val="15"/>
                <w:szCs w:val="22"/>
              </w:rPr>
              <w:t>AI / No Wrong Door</w:t>
            </w:r>
          </w:p>
        </w:tc>
        <w:tc>
          <w:tcPr>
            <w:tcW w:w="5183"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5"/>
                <w:szCs w:val="22"/>
              </w:rPr>
              <w:t>Make AI intent search a universal routing layer and connect it to provider search, benefit guidance and LTC entry.</w:t>
            </w:r>
          </w:p>
        </w:tc>
      </w:tr>
      <w:tr>
        <w:trPr/>
        <w:tc>
          <w:tcPr>
            <w:tcW w:w="51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5"/>
                <w:szCs w:val="22"/>
              </w:rPr>
              <w:t>Existing digital properties</w:t>
            </w:r>
          </w:p>
        </w:tc>
        <w:tc>
          <w:tcPr>
            <w:tcW w:w="518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5"/>
                <w:szCs w:val="22"/>
              </w:rPr>
              <w:t>Treat website, provider search and benefits calculator as connected components of the same user journey.</w:t>
            </w:r>
          </w:p>
        </w:tc>
      </w:tr>
    </w:tbl>
    <w:p>
      <w:pPr>
        <w:pStyle w:val="Heading1"/>
        <w:ind w:hanging="0" w:start="0"/>
        <w:rPr>
          <w:rFonts w:eastAsia="ＭＳ 明朝" w:cs=""/>
          <w:b/>
          <w:color w:val="FFFFFF"/>
          <w:kern w:val="0"/>
          <w:sz w:val="16"/>
          <w:szCs w:val="22"/>
        </w:rPr>
      </w:pPr>
      <w:r>
        <w:rPr/>
        <w:t>11. Recommended Measurement Framework</w:t>
      </w:r>
    </w:p>
    <w:tbl>
      <w:tblPr>
        <w:tblW w:w="10367" w:type="dxa"/>
        <w:jc w:val="center"/>
        <w:tblInd w:w="0" w:type="dxa"/>
        <w:tblLayout w:type="fixed"/>
        <w:tblCellMar>
          <w:top w:w="0" w:type="dxa"/>
          <w:start w:w="108" w:type="dxa"/>
          <w:bottom w:w="0" w:type="dxa"/>
          <w:end w:w="108" w:type="dxa"/>
        </w:tblCellMar>
      </w:tblPr>
      <w:tblGrid>
        <w:gridCol w:w="5184"/>
        <w:gridCol w:w="5183"/>
      </w:tblGrid>
      <w:tr>
        <w:trPr/>
        <w:tc>
          <w:tcPr>
            <w:tcW w:w="5184" w:type="dxa"/>
            <w:tcBorders>
              <w:top w:val="single" w:sz="4" w:space="0" w:color="000000"/>
              <w:start w:val="single" w:sz="4" w:space="0" w:color="000000"/>
              <w:bottom w:val="single" w:sz="4" w:space="0" w:color="000000"/>
              <w:end w:val="single" w:sz="4" w:space="0" w:color="000000"/>
            </w:tcBorders>
            <w:shd w:fill="123B7A" w:val="clear"/>
            <w:vAlign w:val="center"/>
          </w:tcPr>
          <w:p>
            <w:pPr>
              <w:pStyle w:val="Normal"/>
              <w:widowControl/>
              <w:spacing w:lineRule="auto" w:line="240" w:before="0" w:after="0"/>
              <w:jc w:val="start"/>
              <w:rPr/>
            </w:pPr>
            <w:r>
              <w:rPr>
                <w:rFonts w:eastAsia="ＭＳ 明朝" w:cs=""/>
                <w:b/>
                <w:color w:val="FFFFFF"/>
                <w:kern w:val="0"/>
                <w:sz w:val="16"/>
                <w:szCs w:val="22"/>
              </w:rPr>
              <w:t>MEASURE</w:t>
            </w:r>
          </w:p>
        </w:tc>
        <w:tc>
          <w:tcPr>
            <w:tcW w:w="5183" w:type="dxa"/>
            <w:tcBorders>
              <w:top w:val="single" w:sz="4" w:space="0" w:color="000000"/>
              <w:start w:val="single" w:sz="4" w:space="0" w:color="000000"/>
              <w:bottom w:val="single" w:sz="4" w:space="0" w:color="000000"/>
              <w:end w:val="single" w:sz="4" w:space="0" w:color="000000"/>
            </w:tcBorders>
            <w:shd w:fill="123B7A" w:val="clear"/>
            <w:vAlign w:val="center"/>
          </w:tcPr>
          <w:p>
            <w:pPr>
              <w:pStyle w:val="Normal"/>
              <w:widowControl/>
              <w:spacing w:lineRule="auto" w:line="240" w:before="0" w:after="0"/>
              <w:jc w:val="start"/>
              <w:rPr/>
            </w:pPr>
            <w:r>
              <w:rPr>
                <w:rFonts w:eastAsia="ＭＳ 明朝" w:cs=""/>
                <w:b/>
                <w:color w:val="FFFFFF"/>
                <w:kern w:val="0"/>
                <w:sz w:val="16"/>
                <w:szCs w:val="22"/>
              </w:rPr>
              <w:t>EXAMPLE KPI</w:t>
            </w:r>
          </w:p>
        </w:tc>
      </w:tr>
      <w:tr>
        <w:trPr/>
        <w:tc>
          <w:tcPr>
            <w:tcW w:w="51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6"/>
                <w:szCs w:val="22"/>
              </w:rPr>
              <w:t>Findability</w:t>
            </w:r>
          </w:p>
        </w:tc>
        <w:tc>
          <w:tcPr>
            <w:tcW w:w="518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6"/>
                <w:szCs w:val="22"/>
              </w:rPr>
              <w:t>Time to first relevant pathway; % finding correct service without backtracking.</w:t>
            </w:r>
          </w:p>
        </w:tc>
      </w:tr>
      <w:tr>
        <w:trPr/>
        <w:tc>
          <w:tcPr>
            <w:tcW w:w="5184"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23B7A"/>
                <w:kern w:val="0"/>
                <w:sz w:val="16"/>
                <w:szCs w:val="22"/>
              </w:rPr>
              <w:t>Intent search</w:t>
            </w:r>
          </w:p>
        </w:tc>
        <w:tc>
          <w:tcPr>
            <w:tcW w:w="5183"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6"/>
                <w:szCs w:val="22"/>
              </w:rPr>
              <w:t>Successful intent resolution; zero-result rate; AI-to-human escalation; user confidence.</w:t>
            </w:r>
          </w:p>
        </w:tc>
      </w:tr>
      <w:tr>
        <w:trPr/>
        <w:tc>
          <w:tcPr>
            <w:tcW w:w="51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6"/>
                <w:szCs w:val="22"/>
              </w:rPr>
              <w:t>Application</w:t>
            </w:r>
          </w:p>
        </w:tc>
        <w:tc>
          <w:tcPr>
            <w:tcW w:w="518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6"/>
                <w:szCs w:val="22"/>
              </w:rPr>
              <w:t>Start-to-completion rate; abandonment by step; form errors; document-submission success.</w:t>
            </w:r>
          </w:p>
        </w:tc>
      </w:tr>
      <w:tr>
        <w:trPr/>
        <w:tc>
          <w:tcPr>
            <w:tcW w:w="5184"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23B7A"/>
                <w:kern w:val="0"/>
                <w:sz w:val="16"/>
                <w:szCs w:val="22"/>
              </w:rPr>
              <w:t>Status</w:t>
            </w:r>
          </w:p>
        </w:tc>
        <w:tc>
          <w:tcPr>
            <w:tcW w:w="5183"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6"/>
                <w:szCs w:val="22"/>
              </w:rPr>
              <w:t>Reduction in “where is my application?” contacts; status comprehension.</w:t>
            </w:r>
          </w:p>
        </w:tc>
      </w:tr>
      <w:tr>
        <w:trPr/>
        <w:tc>
          <w:tcPr>
            <w:tcW w:w="51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6"/>
                <w:szCs w:val="22"/>
              </w:rPr>
              <w:t>Accessibility</w:t>
            </w:r>
          </w:p>
        </w:tc>
        <w:tc>
          <w:tcPr>
            <w:tcW w:w="518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6"/>
                <w:szCs w:val="22"/>
              </w:rPr>
              <w:t>WCAG 2.2 defects; keyboard completion; screen-reader task success; language coverage.</w:t>
            </w:r>
          </w:p>
        </w:tc>
      </w:tr>
      <w:tr>
        <w:trPr/>
        <w:tc>
          <w:tcPr>
            <w:tcW w:w="5184"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color w:val="123B7A"/>
                <w:kern w:val="0"/>
                <w:sz w:val="16"/>
                <w:szCs w:val="22"/>
              </w:rPr>
              <w:t>Cross-program</w:t>
            </w:r>
          </w:p>
        </w:tc>
        <w:tc>
          <w:tcPr>
            <w:tcW w:w="5183" w:type="dxa"/>
            <w:tcBorders>
              <w:top w:val="single" w:sz="4" w:space="0" w:color="000000"/>
              <w:start w:val="single" w:sz="4" w:space="0" w:color="000000"/>
              <w:bottom w:val="single" w:sz="4" w:space="0" w:color="000000"/>
              <w:end w:val="single" w:sz="4" w:space="0" w:color="000000"/>
            </w:tcBorders>
            <w:shd w:fill="F7FAFD" w:val="clear"/>
            <w:vAlign w:val="center"/>
          </w:tcPr>
          <w:p>
            <w:pPr>
              <w:pStyle w:val="Normal"/>
              <w:widowControl/>
              <w:spacing w:lineRule="auto" w:line="240" w:before="0" w:after="0"/>
              <w:jc w:val="start"/>
              <w:rPr/>
            </w:pPr>
            <w:r>
              <w:rPr>
                <w:rFonts w:eastAsia="ＭＳ 明朝" w:cs=""/>
                <w:b w:val="false"/>
                <w:color w:val="172033"/>
                <w:kern w:val="0"/>
                <w:sz w:val="16"/>
                <w:szCs w:val="22"/>
              </w:rPr>
              <w:t>Successful handoff between related programs without repeating information.</w:t>
            </w:r>
          </w:p>
        </w:tc>
      </w:tr>
      <w:tr>
        <w:trPr/>
        <w:tc>
          <w:tcPr>
            <w:tcW w:w="51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color w:val="123B7A"/>
                <w:kern w:val="0"/>
                <w:sz w:val="16"/>
                <w:szCs w:val="22"/>
              </w:rPr>
              <w:t>WA Cares</w:t>
            </w:r>
          </w:p>
        </w:tc>
        <w:tc>
          <w:tcPr>
            <w:tcW w:w="518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pacing w:lineRule="auto" w:line="240" w:before="0" w:after="0"/>
              <w:jc w:val="start"/>
              <w:rPr/>
            </w:pPr>
            <w:r>
              <w:rPr>
                <w:rFonts w:eastAsia="ＭＳ 明朝" w:cs=""/>
                <w:b w:val="false"/>
                <w:color w:val="172033"/>
                <w:kern w:val="0"/>
                <w:sz w:val="16"/>
                <w:szCs w:val="22"/>
              </w:rPr>
              <w:t>Eligibility comprehension; benefit-calculator completion; provider-search success; portability-task completion.</w:t>
            </w:r>
          </w:p>
        </w:tc>
      </w:tr>
    </w:tbl>
    <w:p>
      <w:pPr>
        <w:pStyle w:val="Heading1"/>
        <w:ind w:hanging="0" w:start="0"/>
        <w:rPr>
          <w:b/>
        </w:rPr>
      </w:pPr>
      <w:r>
        <w:rPr/>
        <w:t>12. Recommended Future-State Homepage — At a Glance</w:t>
      </w:r>
    </w:p>
    <w:p>
      <w:pPr>
        <w:pStyle w:val="Normal"/>
        <w:rPr/>
      </w:pPr>
      <w:r>
        <w:rPr>
          <w:b/>
        </w:rPr>
        <w:t xml:space="preserve">HEADER → </w:t>
      </w:r>
      <w:r>
        <w:rPr/>
        <w:t>Language | Theme | Accessibility | Sign in</w:t>
        <w:br/>
      </w:r>
      <w:r>
        <w:rPr>
          <w:b/>
        </w:rPr>
        <w:t xml:space="preserve">PRIMARY NAV → </w:t>
      </w:r>
      <w:r>
        <w:rPr/>
        <w:t>Get Help | Manage My Benefits | Services &amp; Programs | Resources | Provider/Office | WA Cares | About</w:t>
        <w:br/>
      </w:r>
      <w:r>
        <w:rPr>
          <w:b/>
        </w:rPr>
        <w:t xml:space="preserve">HERO → </w:t>
      </w:r>
      <w:r>
        <w:rPr/>
        <w:t>“How can we help you today?” + large AI intent search</w:t>
        <w:br/>
      </w:r>
      <w:r>
        <w:rPr>
          <w:b/>
        </w:rPr>
        <w:t xml:space="preserve">QUICK ACTIONS → </w:t>
      </w:r>
      <w:r>
        <w:rPr/>
        <w:t>Apply | Check Status | Renew/Report | Upload | Find Office | Find Provider</w:t>
        <w:br/>
      </w:r>
      <w:r>
        <w:rPr>
          <w:b/>
        </w:rPr>
        <w:t xml:space="preserve">LIFE SITUATIONS → </w:t>
      </w:r>
      <w:r>
        <w:rPr/>
        <w:t>Food | Health | Housing/Cash | Disability | Aging/Caregiving | Family | Work | Behavioral Health | Long-Term Care</w:t>
        <w:br/>
      </w:r>
      <w:r>
        <w:rPr>
          <w:b/>
        </w:rPr>
        <w:t xml:space="preserve">PERSONALIZED → </w:t>
      </w:r>
      <w:r>
        <w:rPr/>
        <w:t>Your next steps | notices | documents | status</w:t>
        <w:br/>
      </w:r>
      <w:r>
        <w:rPr>
          <w:b/>
        </w:rPr>
        <w:t xml:space="preserve">WA CARES → </w:t>
      </w:r>
      <w:r>
        <w:rPr/>
        <w:t>Eligibility | Calculator | Planning | Provider Search | Apply/Status | Portability</w:t>
        <w:br/>
      </w:r>
      <w:r>
        <w:rPr>
          <w:b/>
        </w:rPr>
        <w:t xml:space="preserve">RESOURCES → </w:t>
      </w:r>
      <w:r>
        <w:rPr/>
        <w:t>Guides | Forms | Videos | Rights/Appeals | Tools</w:t>
        <w:br/>
      </w:r>
      <w:r>
        <w:rPr>
          <w:b/>
        </w:rPr>
        <w:t xml:space="preserve">TRUST + FOOTER → </w:t>
      </w:r>
      <w:r>
        <w:rPr/>
        <w:t>Contact | Privacy | Accessibility | Languages | Policies | Feedback | Social</w:t>
        <w:br/>
      </w:r>
      <w:r>
        <w:rPr>
          <w:b/>
        </w:rPr>
        <w:t xml:space="preserve">PERSISTENT → </w:t>
      </w:r>
      <w:r>
        <w:rPr/>
        <w:t>Accessibility button bottom-right</w:t>
      </w:r>
    </w:p>
    <w:p>
      <w:pPr>
        <w:pStyle w:val="Normal"/>
        <w:rPr/>
      </w:pPr>
      <w:r>
        <w:rPr/>
      </w:r>
    </w:p>
    <w:p>
      <w:pPr>
        <w:pStyle w:val="Normal"/>
        <w:rPr/>
      </w:pPr>
      <w:r>
        <w:rPr/>
        <w:t>Final recommendation: use this IA as the strategic hypothesis for the RFQQ discovery phase. The RFP itself expects the selected consultant to validate user needs, identify opportunities and develop a strategic project plan before defining subsequent implementation deliverables. The strongest proposal position is therefore not “we already know the final IA,” but “we have a future-state hypothesis grounded in the current ecosystem and RFP priorities, and we will validate and evolve it with users and stakeholders.”</w:t>
      </w:r>
    </w:p>
    <w:p>
      <w:pPr>
        <w:pStyle w:val="Heading1"/>
        <w:ind w:hanging="0" w:start="0"/>
        <w:rPr/>
      </w:pPr>
      <w:r>
        <w:rPr/>
        <w:t>Source Notes</w:t>
      </w:r>
    </w:p>
    <w:p>
      <w:pPr>
        <w:pStyle w:val="Normal"/>
        <w:rPr>
          <w:b/>
          <w:color w:val="123B7A"/>
        </w:rPr>
      </w:pPr>
      <w:r>
        <w:rPr/>
        <w:t>Primary RFP source: RFQQ 2634-889, User Experience Design Consultant for WA Cares Fund, Washington State DSHS. Relevant sections: Purpose; Background; Project Scope; Phase 1 Planning and Discovery; Phase 2 Project Plan Execution.</w:t>
      </w:r>
    </w:p>
    <w:p>
      <w:pPr>
        <w:pStyle w:val="Normal"/>
        <w:rPr>
          <w:b/>
          <w:color w:val="123B7A"/>
        </w:rPr>
      </w:pPr>
      <w:r>
        <w:rPr>
          <w:b/>
          <w:color w:val="123B7A"/>
        </w:rPr>
        <w:t xml:space="preserve">DSHS website: </w:t>
      </w:r>
      <w:r>
        <w:rPr>
          <w:color w:val="1677C8"/>
          <w:u w:val="single"/>
        </w:rPr>
        <w:t>https://www.dshs.wa.gov/</w:t>
      </w:r>
    </w:p>
    <w:p>
      <w:pPr>
        <w:pStyle w:val="Normal"/>
        <w:rPr/>
      </w:pPr>
      <w:r>
        <w:rPr>
          <w:b/>
          <w:color w:val="123B7A"/>
        </w:rPr>
        <w:t xml:space="preserve">DSHS Services We Offer: </w:t>
      </w:r>
      <w:r>
        <w:rPr>
          <w:color w:val="1677C8"/>
          <w:u w:val="single"/>
        </w:rPr>
        <w:t>https://www.dshs.wa.gov/esa/community-services-offices/services-we-offer</w:t>
      </w:r>
    </w:p>
    <w:p>
      <w:pPr>
        <w:pStyle w:val="Normal"/>
        <w:widowControl/>
        <w:bidi w:val="0"/>
        <w:spacing w:lineRule="auto" w:line="276" w:before="0" w:after="200"/>
        <w:jc w:val="start"/>
        <w:rPr/>
      </w:pPr>
      <w:r>
        <w:rPr/>
        <w:t>The proposed IA also incorporates the previously developed DSHS persona and sentiment research as UX hypotheses. Those artifacts should be validated through the discovery, interview, usability and accessibility activities specified in the RFQQ.</w:t>
      </w:r>
    </w:p>
    <w:sectPr>
      <w:type w:val="nextPage"/>
      <w:pgSz w:w="12240" w:h="15840"/>
      <w:pgMar w:left="936" w:right="936" w:gutter="0" w:header="0" w:top="792" w:footer="0" w:bottom="7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0" w:characterSet="windows-1252"/>
    <w:family w:val="roman"/>
    <w:pitch w:val="variable"/>
  </w:font>
  <w:font w:name="Calibri">
    <w:charset w:val="00" w:characterSet="windows-1252"/>
    <w:family w:val="roman"/>
    <w:pitch w:val="variable"/>
  </w:font>
  <w:font w:name="Symbol">
    <w:charset w:val="02"/>
    <w:family w:val="auto"/>
    <w:pitch w:val="default"/>
  </w:font>
  <w:font w:name="Courier">
    <w:altName w:val="Courier New"/>
    <w:charset w:val="00" w:characterSet="windows-1252"/>
    <w:family w:val="roman"/>
    <w:pitch w:val="variable"/>
  </w:font>
  <w:font w:name="Liberation Sans">
    <w:altName w:val="Arial"/>
    <w:charset w:val="00" w:characterSet="windows-1252"/>
    <w:family w:val="swiss"/>
    <w:pitch w:val="variable"/>
  </w:font>
  <w:font w:name="Cambria">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080"/>
        </w:tabs>
        <w:ind w:start="108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jc w:val="start"/>
    </w:pPr>
    <w:rPr>
      <w:rFonts w:ascii="Aptos" w:hAnsi="Aptos" w:eastAsia="ＭＳ 明朝" w:cs=""/>
      <w:color w:val="172033"/>
      <w:kern w:val="0"/>
      <w:sz w:val="19"/>
      <w:szCs w:val="22"/>
      <w:lang w:eastAsia="en-US" w:bidi="ar-SA" w:val="en-US"/>
    </w:rPr>
  </w:style>
  <w:style w:type="paragraph" w:styleId="Heading1">
    <w:name w:val="heading 1"/>
    <w:basedOn w:val="Normal"/>
    <w:next w:val="Normal"/>
    <w:qFormat/>
    <w:pPr>
      <w:keepNext w:val="true"/>
      <w:keepLines/>
      <w:numPr>
        <w:ilvl w:val="0"/>
        <w:numId w:val="1"/>
      </w:numPr>
      <w:spacing w:before="480" w:after="0"/>
      <w:outlineLvl w:val="0"/>
    </w:pPr>
    <w:rPr>
      <w:rFonts w:ascii="Calibri" w:hAnsi="Calibri" w:eastAsia="ＭＳ ゴシック" w:cs=""/>
      <w:b/>
      <w:bCs/>
      <w:color w:val="123B7A"/>
      <w:sz w:val="34"/>
      <w:szCs w:val="28"/>
    </w:rPr>
  </w:style>
  <w:style w:type="paragraph" w:styleId="Heading2">
    <w:name w:val="heading 2"/>
    <w:basedOn w:val="Normal"/>
    <w:next w:val="Normal"/>
    <w:qFormat/>
    <w:pPr>
      <w:keepNext w:val="true"/>
      <w:keepLines/>
      <w:numPr>
        <w:ilvl w:val="1"/>
        <w:numId w:val="1"/>
      </w:numPr>
      <w:spacing w:before="200" w:after="0"/>
      <w:outlineLvl w:val="1"/>
    </w:pPr>
    <w:rPr>
      <w:rFonts w:ascii="Calibri" w:hAnsi="Calibri" w:eastAsia="ＭＳ ゴシック" w:cs=""/>
      <w:b/>
      <w:bCs/>
      <w:color w:val="1677C8"/>
      <w:sz w:val="25"/>
      <w:szCs w:val="26"/>
    </w:rPr>
  </w:style>
  <w:style w:type="paragraph" w:styleId="Heading3">
    <w:name w:val="heading 3"/>
    <w:basedOn w:val="Normal"/>
    <w:next w:val="Normal"/>
    <w:qFormat/>
    <w:pPr>
      <w:keepNext w:val="true"/>
      <w:keepLines/>
      <w:numPr>
        <w:ilvl w:val="2"/>
        <w:numId w:val="1"/>
      </w:numPr>
      <w:spacing w:before="200" w:after="0"/>
      <w:outlineLvl w:val="2"/>
    </w:pPr>
    <w:rPr>
      <w:rFonts w:ascii="Calibri" w:hAnsi="Calibri" w:eastAsia="ＭＳ ゴシック" w:cs=""/>
      <w:b/>
      <w:bCs/>
      <w:color w:val="172033"/>
      <w:sz w:val="21"/>
    </w:rPr>
  </w:style>
  <w:style w:type="paragraph" w:styleId="Heading4">
    <w:name w:val="heading 4"/>
    <w:basedOn w:val="Normal"/>
    <w:next w:val="Normal"/>
    <w:qFormat/>
    <w:pPr>
      <w:keepNext w:val="true"/>
      <w:keepLines/>
      <w:numPr>
        <w:ilvl w:val="3"/>
        <w:numId w:val="1"/>
      </w:numPr>
      <w:spacing w:before="200" w:after="0"/>
      <w:outlineLvl w:val="3"/>
    </w:pPr>
    <w:rPr>
      <w:rFonts w:ascii="Calibri" w:hAnsi="Calibri" w:eastAsia="ＭＳ ゴシック" w:cs=""/>
      <w:b/>
      <w:bCs/>
      <w:i/>
      <w:iCs/>
      <w:color w:val="4F81BD"/>
    </w:rPr>
  </w:style>
  <w:style w:type="paragraph" w:styleId="Heading5">
    <w:name w:val="heading 5"/>
    <w:basedOn w:val="Normal"/>
    <w:next w:val="Normal"/>
    <w:qFormat/>
    <w:pPr>
      <w:keepNext w:val="true"/>
      <w:keepLines/>
      <w:numPr>
        <w:ilvl w:val="4"/>
        <w:numId w:val="1"/>
      </w:numPr>
      <w:spacing w:before="200" w:after="0"/>
      <w:outlineLvl w:val="4"/>
    </w:pPr>
    <w:rPr>
      <w:rFonts w:ascii="Calibri" w:hAnsi="Calibri" w:eastAsia="ＭＳ ゴシック" w:cs=""/>
      <w:color w:val="243F60"/>
    </w:rPr>
  </w:style>
  <w:style w:type="paragraph" w:styleId="Heading6">
    <w:name w:val="heading 6"/>
    <w:basedOn w:val="Normal"/>
    <w:next w:val="Normal"/>
    <w:qFormat/>
    <w:pPr>
      <w:keepNext w:val="true"/>
      <w:keepLines/>
      <w:numPr>
        <w:ilvl w:val="5"/>
        <w:numId w:val="1"/>
      </w:numPr>
      <w:spacing w:before="200" w:after="0"/>
      <w:outlineLvl w:val="5"/>
    </w:pPr>
    <w:rPr>
      <w:rFonts w:ascii="Calibri" w:hAnsi="Calibri" w:eastAsia="ＭＳ ゴシック" w:cs=""/>
      <w:i/>
      <w:iCs/>
      <w:color w:val="243F60"/>
    </w:rPr>
  </w:style>
  <w:style w:type="paragraph" w:styleId="Heading7">
    <w:name w:val="heading 7"/>
    <w:basedOn w:val="Normal"/>
    <w:next w:val="Normal"/>
    <w:qFormat/>
    <w:pPr>
      <w:keepNext w:val="true"/>
      <w:keepLines/>
      <w:numPr>
        <w:ilvl w:val="6"/>
        <w:numId w:val="1"/>
      </w:numPr>
      <w:spacing w:before="200" w:after="0"/>
      <w:outlineLvl w:val="6"/>
    </w:pPr>
    <w:rPr>
      <w:rFonts w:ascii="Calibri" w:hAnsi="Calibri" w:eastAsia="ＭＳ ゴシック" w:cs=""/>
      <w:i/>
      <w:iCs/>
      <w:color w:val="404040"/>
    </w:rPr>
  </w:style>
  <w:style w:type="paragraph" w:styleId="Heading8">
    <w:name w:val="heading 8"/>
    <w:basedOn w:val="Normal"/>
    <w:next w:val="Normal"/>
    <w:qFormat/>
    <w:pPr>
      <w:keepNext w:val="true"/>
      <w:keepLines/>
      <w:numPr>
        <w:ilvl w:val="7"/>
        <w:numId w:val="1"/>
      </w:numPr>
      <w:spacing w:before="200" w:after="0"/>
      <w:outlineLvl w:val="7"/>
    </w:pPr>
    <w:rPr>
      <w:rFonts w:ascii="Calibri" w:hAnsi="Calibri" w:eastAsia="ＭＳ ゴシック" w:cs=""/>
      <w:color w:val="4F81BD"/>
      <w:sz w:val="20"/>
      <w:szCs w:val="20"/>
    </w:rPr>
  </w:style>
  <w:style w:type="paragraph" w:styleId="Heading9">
    <w:name w:val="heading 9"/>
    <w:basedOn w:val="Normal"/>
    <w:next w:val="Normal"/>
    <w:qFormat/>
    <w:pPr>
      <w:keepNext w:val="true"/>
      <w:keepLines/>
      <w:numPr>
        <w:ilvl w:val="8"/>
        <w:numId w:val="1"/>
      </w:numPr>
      <w:spacing w:before="200" w:after="0"/>
      <w:outlineLvl w:val="8"/>
    </w:pPr>
    <w:rPr>
      <w:rFonts w:ascii="Calibri" w:hAnsi="Calibri" w:eastAsia="ＭＳ ゴシック" w:cs=""/>
      <w:i/>
      <w:iCs/>
      <w:color w:val="404040"/>
      <w:sz w:val="20"/>
      <w:szCs w:val="20"/>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Heading1Char">
    <w:name w:val="Heading 1 Char"/>
    <w:basedOn w:val="DefaultParagraphFont"/>
    <w:qFormat/>
    <w:rPr>
      <w:rFonts w:ascii="Calibri" w:hAnsi="Calibri" w:eastAsia="ＭＳ ゴシック" w:cs=""/>
      <w:b/>
      <w:bCs/>
      <w:color w:val="365F91"/>
      <w:sz w:val="28"/>
      <w:szCs w:val="28"/>
    </w:rPr>
  </w:style>
  <w:style w:type="character" w:styleId="Heading2Char">
    <w:name w:val="Heading 2 Char"/>
    <w:basedOn w:val="DefaultParagraphFont"/>
    <w:qFormat/>
    <w:rPr>
      <w:rFonts w:ascii="Calibri" w:hAnsi="Calibri" w:eastAsia="ＭＳ ゴシック" w:cs=""/>
      <w:b/>
      <w:bCs/>
      <w:color w:val="4F81BD"/>
      <w:sz w:val="26"/>
      <w:szCs w:val="26"/>
    </w:rPr>
  </w:style>
  <w:style w:type="character" w:styleId="Heading3Char">
    <w:name w:val="Heading 3 Char"/>
    <w:basedOn w:val="DefaultParagraphFont"/>
    <w:qFormat/>
    <w:rPr>
      <w:rFonts w:ascii="Calibri" w:hAnsi="Calibri" w:eastAsia="ＭＳ ゴシック" w:cs=""/>
      <w:b/>
      <w:bCs/>
      <w:color w:val="4F81BD"/>
    </w:rPr>
  </w:style>
  <w:style w:type="character" w:styleId="TitleChar">
    <w:name w:val="Title Char"/>
    <w:basedOn w:val="DefaultParagraphFont"/>
    <w:qFormat/>
    <w:rPr>
      <w:rFonts w:ascii="Calibri" w:hAnsi="Calibri" w:eastAsia="ＭＳ ゴシック" w:cs=""/>
      <w:color w:val="17365D"/>
      <w:spacing w:val="5"/>
      <w:kern w:val="2"/>
      <w:sz w:val="52"/>
      <w:szCs w:val="52"/>
    </w:rPr>
  </w:style>
  <w:style w:type="character" w:styleId="SubtitleChar">
    <w:name w:val="Subtitle Char"/>
    <w:basedOn w:val="DefaultParagraphFont"/>
    <w:qFormat/>
    <w:rPr>
      <w:rFonts w:ascii="Calibri" w:hAnsi="Calibri" w:eastAsia="ＭＳ ゴシック" w:cs=""/>
      <w:i/>
      <w:iCs/>
      <w:color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qFormat/>
    <w:rPr/>
  </w:style>
  <w:style w:type="character" w:styleId="BodyText3Char">
    <w:name w:val="Body Text 3 Char"/>
    <w:basedOn w:val="DefaultParagraphFont"/>
    <w:qFormat/>
    <w:rPr>
      <w:sz w:val="16"/>
      <w:szCs w:val="16"/>
    </w:rPr>
  </w:style>
  <w:style w:type="character" w:styleId="MacroTextChar">
    <w:name w:val="Macro Text Char"/>
    <w:basedOn w:val="DefaultParagraphFont"/>
    <w:qFormat/>
    <w:rPr>
      <w:rFonts w:ascii="Courier;Courier New" w:hAnsi="Courier;Courier New" w:cs="Courier;Courier New"/>
      <w:sz w:val="20"/>
      <w:szCs w:val="20"/>
    </w:rPr>
  </w:style>
  <w:style w:type="character" w:styleId="QuoteChar">
    <w:name w:val="Quote Char"/>
    <w:basedOn w:val="DefaultParagraphFont"/>
    <w:qFormat/>
    <w:rPr>
      <w:i/>
      <w:iCs/>
      <w:color w:val="000000"/>
    </w:rPr>
  </w:style>
  <w:style w:type="character" w:styleId="Heading4Char">
    <w:name w:val="Heading 4 Char"/>
    <w:basedOn w:val="DefaultParagraphFont"/>
    <w:qFormat/>
    <w:rPr>
      <w:rFonts w:ascii="Calibri" w:hAnsi="Calibri" w:eastAsia="ＭＳ ゴシック" w:cs=""/>
      <w:b/>
      <w:bCs/>
      <w:i/>
      <w:iCs/>
      <w:color w:val="4F81BD"/>
    </w:rPr>
  </w:style>
  <w:style w:type="character" w:styleId="Heading5Char">
    <w:name w:val="Heading 5 Char"/>
    <w:basedOn w:val="DefaultParagraphFont"/>
    <w:qFormat/>
    <w:rPr>
      <w:rFonts w:ascii="Calibri" w:hAnsi="Calibri" w:eastAsia="ＭＳ ゴシック" w:cs=""/>
      <w:color w:val="243F60"/>
    </w:rPr>
  </w:style>
  <w:style w:type="character" w:styleId="Heading6Char">
    <w:name w:val="Heading 6 Char"/>
    <w:basedOn w:val="DefaultParagraphFont"/>
    <w:qFormat/>
    <w:rPr>
      <w:rFonts w:ascii="Calibri" w:hAnsi="Calibri" w:eastAsia="ＭＳ ゴシック" w:cs=""/>
      <w:i/>
      <w:iCs/>
      <w:color w:val="243F60"/>
    </w:rPr>
  </w:style>
  <w:style w:type="character" w:styleId="Heading7Char">
    <w:name w:val="Heading 7 Char"/>
    <w:basedOn w:val="DefaultParagraphFont"/>
    <w:qFormat/>
    <w:rPr>
      <w:rFonts w:ascii="Calibri" w:hAnsi="Calibri" w:eastAsia="ＭＳ ゴシック" w:cs=""/>
      <w:i/>
      <w:iCs/>
      <w:color w:val="404040"/>
    </w:rPr>
  </w:style>
  <w:style w:type="character" w:styleId="Heading8Char">
    <w:name w:val="Heading 8 Char"/>
    <w:basedOn w:val="DefaultParagraphFont"/>
    <w:qFormat/>
    <w:rPr>
      <w:rFonts w:ascii="Calibri" w:hAnsi="Calibri" w:eastAsia="ＭＳ ゴシック" w:cs=""/>
      <w:color w:val="4F81BD"/>
      <w:sz w:val="20"/>
      <w:szCs w:val="20"/>
    </w:rPr>
  </w:style>
  <w:style w:type="character" w:styleId="Heading9Char">
    <w:name w:val="Heading 9 Char"/>
    <w:basedOn w:val="DefaultParagraphFont"/>
    <w:qFormat/>
    <w:rPr>
      <w:rFonts w:ascii="Calibri" w:hAnsi="Calibri" w:eastAsia="ＭＳ ゴシック" w:cs=""/>
      <w:i/>
      <w:iCs/>
      <w:color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qFormat/>
    <w:rPr>
      <w:b/>
      <w:bCs/>
      <w:i/>
      <w:iCs/>
      <w:color w:val="4F81BD"/>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paragraph" w:styleId="Heading">
    <w:name w:val="Heading"/>
    <w:basedOn w:val="Normal"/>
    <w:next w:val="BodyText"/>
    <w:qFormat/>
    <w:pPr>
      <w:keepNext w:val="true"/>
      <w:spacing w:before="240" w:after="120"/>
    </w:pPr>
    <w:rPr>
      <w:rFonts w:ascii="Liberation Sans;Arial" w:hAnsi="Liberation Sans;Arial" w:eastAsia="Noto Sans CJK SC" w:cs="Lohit Devanagari"/>
      <w:sz w:val="28"/>
      <w:szCs w:val="28"/>
    </w:rPr>
  </w:style>
  <w:style w:type="paragraph" w:styleId="BodyText">
    <w:name w:val="Body Text"/>
    <w:basedOn w:val="Normal"/>
    <w:pPr>
      <w:spacing w:before="0" w:after="120"/>
    </w:pPr>
    <w:rPr/>
  </w:style>
  <w:style w:type="paragraph" w:styleId="List">
    <w:name w:val="List"/>
    <w:basedOn w:val="Normal"/>
    <w:pPr>
      <w:spacing w:before="0" w:after="200"/>
      <w:ind w:hanging="360" w:start="360" w:end="0"/>
      <w:contextualSpacing/>
    </w:pPr>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Lohit Devanagari"/>
    </w:rPr>
  </w:style>
  <w:style w:type="paragraph" w:styleId="caption1">
    <w:name w:val="caption1"/>
    <w:basedOn w:val="Normal"/>
    <w:next w:val="Normal"/>
    <w:qFormat/>
    <w:pPr>
      <w:spacing w:lineRule="auto" w:line="240"/>
    </w:pPr>
    <w:rPr>
      <w:b/>
      <w:bCs/>
      <w:color w:val="4F81BD"/>
      <w:sz w:val="18"/>
      <w:szCs w:val="18"/>
    </w:rPr>
  </w:style>
  <w:style w:type="paragraph" w:styleId="HeaderandFooter">
    <w:name w:val="Header and Footer"/>
    <w:basedOn w:val="Normal"/>
    <w:qFormat/>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bidi w:val="0"/>
      <w:spacing w:lineRule="auto" w:line="240" w:before="0" w:after="0"/>
      <w:jc w:val="start"/>
    </w:pPr>
    <w:rPr>
      <w:rFonts w:ascii="Cambria" w:hAnsi="Cambria" w:eastAsia="ＭＳ 明朝" w:cs=""/>
      <w:color w:val="auto"/>
      <w:kern w:val="0"/>
      <w:sz w:val="22"/>
      <w:szCs w:val="22"/>
      <w:lang w:eastAsia="en-US" w:bidi="ar-SA" w:val="en-US"/>
    </w:rPr>
  </w:style>
  <w:style w:type="paragraph" w:styleId="Title">
    <w:name w:val="Title"/>
    <w:basedOn w:val="Normal"/>
    <w:next w:val="Normal"/>
    <w:qFormat/>
    <w:pPr>
      <w:pBdr>
        <w:bottom w:val="single" w:sz="8" w:space="4" w:color="4F81BD"/>
      </w:pBdr>
      <w:spacing w:lineRule="auto" w:line="240" w:before="0" w:after="300"/>
      <w:contextualSpacing/>
    </w:pPr>
    <w:rPr>
      <w:rFonts w:ascii="Calibri" w:hAnsi="Calibri" w:eastAsia="ＭＳ ゴシック" w:cs=""/>
      <w:b/>
      <w:color w:val="123B7A"/>
      <w:spacing w:val="5"/>
      <w:kern w:val="2"/>
      <w:sz w:val="48"/>
      <w:szCs w:val="52"/>
    </w:rPr>
  </w:style>
  <w:style w:type="paragraph" w:styleId="Subtitle">
    <w:name w:val="Subtitle"/>
    <w:basedOn w:val="Normal"/>
    <w:next w:val="Normal"/>
    <w:qFormat/>
    <w:pPr/>
    <w:rPr>
      <w:rFonts w:ascii="Calibri" w:hAnsi="Calibri" w:eastAsia="ＭＳ ゴシック" w:cs=""/>
      <w:i/>
      <w:iCs/>
      <w:color w:val="4F81BD"/>
      <w:spacing w:val="15"/>
      <w:sz w:val="24"/>
      <w:szCs w:val="24"/>
    </w:rPr>
  </w:style>
  <w:style w:type="paragraph" w:styleId="ListParagraph">
    <w:name w:val="List Paragraph"/>
    <w:basedOn w:val="Normal"/>
    <w:qFormat/>
    <w:pPr>
      <w:spacing w:before="0" w:after="200"/>
      <w:ind w:hanging="0" w:start="720" w:end="0"/>
      <w:contextualSpacing/>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ListBullet2">
    <w:name w:val="List Bullet 2"/>
    <w:basedOn w:val="Normal"/>
    <w:pPr>
      <w:spacing w:before="0" w:after="200"/>
      <w:ind w:hanging="360" w:start="720" w:end="0"/>
      <w:contextualSpacing/>
    </w:pPr>
    <w:rPr/>
  </w:style>
  <w:style w:type="paragraph" w:styleId="ListBullet3">
    <w:name w:val="List Bullet 3"/>
    <w:basedOn w:val="Normal"/>
    <w:pPr>
      <w:spacing w:before="0" w:after="200"/>
      <w:ind w:hanging="360" w:start="1080" w:end="0"/>
      <w:contextualSpacing/>
    </w:pPr>
    <w:rPr/>
  </w:style>
  <w:style w:type="paragraph" w:styleId="ListBullet">
    <w:name w:val="List Bullet"/>
    <w:basedOn w:val="Normal"/>
    <w:qFormat/>
    <w:pPr>
      <w:numPr>
        <w:ilvl w:val="0"/>
        <w:numId w:val="2"/>
      </w:numPr>
      <w:spacing w:before="0" w:after="200"/>
      <w:contextualSpacing/>
    </w:pPr>
    <w:rPr/>
  </w:style>
  <w:style w:type="paragraph" w:styleId="ListBullet21">
    <w:name w:val="List Bullet 21"/>
    <w:basedOn w:val="Normal"/>
    <w:qFormat/>
    <w:pPr>
      <w:numPr>
        <w:ilvl w:val="0"/>
        <w:numId w:val="3"/>
      </w:numPr>
      <w:spacing w:before="0" w:after="200"/>
      <w:contextualSpacing/>
    </w:pPr>
    <w:rPr/>
  </w:style>
  <w:style w:type="paragraph" w:styleId="ListBullet31">
    <w:name w:val="List Bullet 31"/>
    <w:basedOn w:val="Normal"/>
    <w:qFormat/>
    <w:pPr>
      <w:numPr>
        <w:ilvl w:val="0"/>
        <w:numId w:val="4"/>
      </w:numPr>
      <w:spacing w:before="0" w:after="200"/>
      <w:contextualSpacing/>
    </w:pPr>
    <w:rPr/>
  </w:style>
  <w:style w:type="paragraph" w:styleId="ListNumber">
    <w:name w:val="List Number"/>
    <w:basedOn w:val="Normal"/>
    <w:qFormat/>
    <w:pPr>
      <w:numPr>
        <w:ilvl w:val="0"/>
        <w:numId w:val="5"/>
      </w:numPr>
      <w:spacing w:before="0" w:after="200"/>
      <w:contextualSpacing/>
    </w:pPr>
    <w:rPr/>
  </w:style>
  <w:style w:type="paragraph" w:styleId="ListNumber2">
    <w:name w:val="List Number 2"/>
    <w:basedOn w:val="Normal"/>
    <w:qFormat/>
    <w:pPr>
      <w:numPr>
        <w:ilvl w:val="0"/>
        <w:numId w:val="6"/>
      </w:numPr>
      <w:spacing w:before="0" w:after="200"/>
      <w:contextualSpacing/>
    </w:pPr>
    <w:rPr/>
  </w:style>
  <w:style w:type="paragraph" w:styleId="ListNumber3">
    <w:name w:val="List Number 3"/>
    <w:basedOn w:val="Normal"/>
    <w:qFormat/>
    <w:pPr>
      <w:numPr>
        <w:ilvl w:val="0"/>
        <w:numId w:val="7"/>
      </w:numPr>
      <w:spacing w:before="0" w:after="200"/>
      <w:contextualSpacing/>
    </w:pPr>
    <w:rPr/>
  </w:style>
  <w:style w:type="paragraph" w:styleId="ListContinue">
    <w:name w:val="List Continue"/>
    <w:basedOn w:val="Normal"/>
    <w:qFormat/>
    <w:pPr>
      <w:spacing w:before="0" w:after="120"/>
      <w:ind w:hanging="0" w:start="360" w:end="0"/>
      <w:contextualSpacing/>
    </w:pPr>
    <w:rPr/>
  </w:style>
  <w:style w:type="paragraph" w:styleId="ListContinue2">
    <w:name w:val="List Continue 2"/>
    <w:basedOn w:val="Normal"/>
    <w:qFormat/>
    <w:pPr>
      <w:spacing w:before="0" w:after="120"/>
      <w:ind w:hanging="0" w:start="720" w:end="0"/>
      <w:contextualSpacing/>
    </w:pPr>
    <w:rPr/>
  </w:style>
  <w:style w:type="paragraph" w:styleId="ListContinue3">
    <w:name w:val="List Continue 3"/>
    <w:basedOn w:val="Normal"/>
    <w:qFormat/>
    <w:pPr>
      <w:spacing w:before="0" w:after="120"/>
      <w:ind w:hanging="0" w:start="1080" w:end="0"/>
      <w:contextualSpacing/>
    </w:pPr>
    <w:rPr/>
  </w:style>
  <w:style w:type="paragraph" w:styleId="MacroText">
    <w:name w:val="macro"/>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Courier New" w:hAnsi="Courier;Courier New" w:eastAsia="ＭＳ 明朝" w:cs=""/>
      <w:color w:val="auto"/>
      <w:kern w:val="0"/>
      <w:sz w:val="20"/>
      <w:szCs w:val="20"/>
      <w:lang w:eastAsia="en-US" w:bidi="ar-SA" w:val="en-US"/>
    </w:rPr>
  </w:style>
  <w:style w:type="paragraph" w:styleId="Quote">
    <w:name w:val="Quote"/>
    <w:basedOn w:val="Normal"/>
    <w:next w:val="Normal"/>
    <w:qFormat/>
    <w:pPr/>
    <w:rPr>
      <w:i/>
      <w:iCs/>
      <w:color w:val="000000"/>
    </w:rPr>
  </w:style>
  <w:style w:type="paragraph" w:styleId="IntenseQuote">
    <w:name w:val="Intense Quote"/>
    <w:basedOn w:val="Normal"/>
    <w:next w:val="Normal"/>
    <w:qFormat/>
    <w:pPr>
      <w:pBdr>
        <w:bottom w:val="single" w:sz="4" w:space="4" w:color="4F81BD"/>
      </w:pBdr>
      <w:spacing w:before="200" w:after="280"/>
      <w:ind w:hanging="0" w:start="936" w:end="936"/>
    </w:pPr>
    <w:rPr>
      <w:b/>
      <w:bCs/>
      <w:i/>
      <w:iCs/>
      <w:color w:val="4F81BD"/>
    </w:rPr>
  </w:style>
  <w:style w:type="paragraph" w:styleId="IndexHeading">
    <w:name w:val="index heading"/>
    <w:basedOn w:val="Heading"/>
    <w:pPr/>
    <w:rPr/>
  </w:style>
  <w:style w:type="paragraph" w:styleId="TOCHeading">
    <w:name w:val="TOC Heading"/>
    <w:basedOn w:val="Heading1"/>
    <w:next w:val="Normal"/>
    <w:qFormat/>
    <w:pPr>
      <w:numPr>
        <w:ilvl w:val="0"/>
        <w:numId w:val="0"/>
      </w:num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LibreOffice/26.2.5.2$Linux_AARCH64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dc:language>en-US</dc:language>
  <cp:lastModifiedBy/>
  <dcterms:modified xsi:type="dcterms:W3CDTF">2013-12-24T04:45:00Z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