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60" w:lineRule="auto"/>
        <w:jc w:val="center"/>
      </w:pPr>
      <w:r>
        <w:rPr>
          <w:rFonts w:ascii="Times New Roman" w:hAnsi="Times New Roman"/>
          <w:b/>
          <w:sz w:val="28"/>
        </w:rPr>
        <w:t>TECHNICAL REPORT</w:t>
        <w:br/>
        <w:t>ON</w:t>
        <w:br/>
        <w:t>STUDENTS INDUSTRIAL WORK EXPERIENCE SCHEME (SIWES I)</w:t>
      </w:r>
    </w:p>
    <w:p>
      <w:pPr>
        <w:spacing w:before="480" w:after="240" w:line="360" w:lineRule="auto"/>
        <w:jc w:val="center"/>
      </w:pPr>
      <w:r>
        <w:rPr>
          <w:rFonts w:ascii="Times New Roman" w:hAnsi="Times New Roman"/>
          <w:b/>
          <w:sz w:val="26"/>
        </w:rPr>
        <w:t>AT</w:t>
        <w:br/>
        <w:br/>
        <w:t>NIGERIAN BREWERIES PLC</w:t>
        <w:br/>
        <w:t>ABEBE VILLAGE ROAD, IGANMU, LAGOS STATE</w:t>
      </w:r>
    </w:p>
    <w:p>
      <w:pPr>
        <w:spacing w:before="600" w:after="240" w:line="360" w:lineRule="auto"/>
        <w:jc w:val="center"/>
      </w:pPr>
      <w:r>
        <w:rPr>
          <w:rFonts w:ascii="Times New Roman" w:hAnsi="Times New Roman"/>
          <w:b/>
          <w:sz w:val="26"/>
        </w:rPr>
        <w:t>BY</w:t>
        <w:br/>
        <w:br/>
        <w:t>OGUNDELE, BOLUWATIFE DAVID</w:t>
        <w:br/>
        <w:t>22/ENG05/019</w:t>
      </w:r>
    </w:p>
    <w:p>
      <w:pPr>
        <w:spacing w:before="800" w:after="0" w:line="360" w:lineRule="auto"/>
        <w:jc w:val="center"/>
      </w:pPr>
      <w:r>
        <w:rPr>
          <w:rFonts w:ascii="Times New Roman" w:hAnsi="Times New Roman"/>
          <w:b/>
          <w:sz w:val="24"/>
        </w:rPr>
        <w:t>SUBMITTED TO</w:t>
        <w:br/>
        <w:br/>
        <w:t>DEPARTMENT OF MECHANICAL ENGINEERING, COLLEGE OF ENGINEERING</w:t>
        <w:br/>
        <w:t>LANDMARK UNIVERSITY, OMU-ARAN, KWARA STATE, NIGERIA</w:t>
        <w:br/>
        <w:br/>
        <w:t>[SEPTEMBER 2026]</w:t>
      </w:r>
    </w:p>
    <w:p>
      <w:r>
        <w:br w:type="page"/>
      </w:r>
    </w:p>
    <w:p>
      <w:pPr>
        <w:pStyle w:val="Heading1"/>
        <w:spacing w:before="360" w:after="360" w:line="360" w:lineRule="auto"/>
        <w:jc w:val="center"/>
      </w:pPr>
      <w:r>
        <w:rPr>
          <w:rFonts w:ascii="Times New Roman" w:hAnsi="Times New Roman"/>
          <w:b/>
          <w:sz w:val="28"/>
        </w:rPr>
        <w:t>DECLARATION</w:t>
      </w:r>
    </w:p>
    <w:p>
      <w:pPr>
        <w:spacing w:line="480" w:lineRule="auto" w:before="0" w:after="120"/>
        <w:ind w:firstLine="720"/>
      </w:pPr>
      <w:r>
        <w:rPr>
          <w:rFonts w:ascii="Times New Roman" w:hAnsi="Times New Roman"/>
          <w:sz w:val="24"/>
        </w:rPr>
        <w:t>I, OGUNDELE, Boluwatife David, hereby declare that this SIWES Report has been carried out by me under the supervision of Engr. Charles Nwosu (Senior Packaging Engineer). It has not been presented for the award of any degree in any institution. All sources of information are specifically acknowledged by means of reference.</w:t>
      </w:r>
    </w:p>
    <w:p>
      <w:pPr>
        <w:spacing w:before="1200" w:line="360" w:lineRule="auto"/>
      </w:pPr>
    </w:p>
    <w:tbl>
      <w:tblPr>
        <w:tblW w:type="auto" w:w="0"/>
        <w:jc w:val="center"/>
        <w:tblLook w:firstColumn="1" w:firstRow="1" w:lastColumn="0" w:lastRow="0" w:noHBand="0" w:noVBand="1" w:val="04A0"/>
      </w:tblPr>
      <w:tblGrid>
        <w:gridCol w:w="4384"/>
        <w:gridCol w:w="4384"/>
      </w:tblGrid>
      <w:tr>
        <w:tc>
          <w:tcPr>
            <w:tcW w:type="dxa" w:w="5184"/>
          </w:tcPr>
          <w:p>
            <w:pPr>
              <w:spacing w:line="360" w:lineRule="auto"/>
            </w:pPr>
            <w:r>
              <w:rPr>
                <w:rFonts w:ascii="Times New Roman" w:hAnsi="Times New Roman"/>
                <w:sz w:val="24"/>
              </w:rPr>
              <w:t>___________________________</w:t>
              <w:br/>
              <w:t>Signature</w:t>
            </w:r>
          </w:p>
        </w:tc>
        <w:tc>
          <w:tcPr>
            <w:tcW w:type="dxa" w:w="5184"/>
          </w:tcPr>
          <w:p>
            <w:pPr>
              <w:spacing w:line="360" w:lineRule="auto"/>
            </w:pPr>
            <w:r>
              <w:rPr>
                <w:rFonts w:ascii="Times New Roman" w:hAnsi="Times New Roman"/>
                <w:sz w:val="24"/>
              </w:rPr>
              <w:t>___________________________</w:t>
              <w:br/>
              <w:t>Date</w:t>
            </w:r>
          </w:p>
        </w:tc>
      </w:tr>
    </w:tbl>
    <w:p>
      <w:r>
        <w:br w:type="page"/>
      </w:r>
    </w:p>
    <w:p>
      <w:pPr>
        <w:pStyle w:val="Heading1"/>
        <w:spacing w:before="360" w:after="360" w:line="360" w:lineRule="auto"/>
        <w:jc w:val="center"/>
      </w:pPr>
      <w:r>
        <w:rPr>
          <w:rFonts w:ascii="Times New Roman" w:hAnsi="Times New Roman"/>
          <w:b/>
          <w:sz w:val="28"/>
        </w:rPr>
        <w:t>CERTIFICATION</w:t>
      </w:r>
    </w:p>
    <w:p>
      <w:pPr>
        <w:spacing w:line="480" w:lineRule="auto" w:before="0" w:after="120"/>
        <w:ind w:firstLine="720"/>
      </w:pPr>
      <w:r>
        <w:rPr>
          <w:rFonts w:ascii="Times New Roman" w:hAnsi="Times New Roman"/>
          <w:sz w:val="24"/>
        </w:rPr>
        <w:t>This SIWES Report by OGUNDELE, Boluwatife David meets the requirements governing the award of the degree of Bachelor of Science in Mechanical Engineering and is approved for its contribution to knowledge and literary presentation.</w:t>
      </w:r>
    </w:p>
    <w:tbl>
      <w:tblPr>
        <w:tblW w:type="auto" w:w="0"/>
        <w:jc w:val="center"/>
        <w:tblLook w:firstColumn="1" w:firstRow="1" w:lastColumn="0" w:lastRow="0" w:noHBand="0" w:noVBand="1" w:val="04A0"/>
      </w:tblPr>
      <w:tblGrid>
        <w:gridCol w:w="4384"/>
        <w:gridCol w:w="4384"/>
      </w:tblGrid>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Dr. M. A. Adebayo</w:t>
              <w:br/>
              <w:t>Supervisor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Engr. (Mrs.) F. E. Babatunde</w:t>
              <w:br/>
              <w:t>Dept. SIWES Officer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Prof. J. K. Adewumi</w:t>
              <w:br/>
              <w:t>Head of Department</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bl>
    <w:p>
      <w:r>
        <w:br w:type="page"/>
      </w:r>
    </w:p>
    <w:p>
      <w:pPr>
        <w:pStyle w:val="Heading1"/>
        <w:spacing w:before="360" w:after="360" w:line="360" w:lineRule="auto"/>
        <w:jc w:val="center"/>
      </w:pPr>
      <w:r>
        <w:rPr>
          <w:rFonts w:ascii="Times New Roman" w:hAnsi="Times New Roman"/>
          <w:b/>
          <w:sz w:val="28"/>
        </w:rPr>
        <w:t>DEDICATION</w:t>
      </w:r>
    </w:p>
    <w:p>
      <w:pPr>
        <w:spacing w:line="480" w:lineRule="auto" w:before="0" w:after="120"/>
        <w:ind w:firstLine="720"/>
      </w:pPr>
      <w:r>
        <w:rPr>
          <w:rFonts w:ascii="Times New Roman" w:hAnsi="Times New Roman"/>
          <w:sz w:val="24"/>
        </w:rPr>
        <w:t>Dedicated to God Almighty and my wonderful family.</w:t>
      </w:r>
    </w:p>
    <w:p>
      <w:r>
        <w:br w:type="page"/>
      </w:r>
    </w:p>
    <w:p>
      <w:pPr>
        <w:pStyle w:val="Heading1"/>
        <w:spacing w:before="360" w:after="360" w:line="360" w:lineRule="auto"/>
        <w:jc w:val="center"/>
      </w:pPr>
      <w:r>
        <w:rPr>
          <w:rFonts w:ascii="Times New Roman" w:hAnsi="Times New Roman"/>
          <w:b/>
          <w:sz w:val="28"/>
        </w:rPr>
        <w:t>ACKNOWLEDGEMENTS</w:t>
      </w:r>
    </w:p>
    <w:p>
      <w:pPr>
        <w:spacing w:line="480" w:lineRule="auto" w:before="0" w:after="120"/>
        <w:ind w:firstLine="720"/>
      </w:pPr>
      <w:r>
        <w:rPr>
          <w:rFonts w:ascii="Times New Roman" w:hAnsi="Times New Roman"/>
          <w:sz w:val="24"/>
        </w:rPr>
        <w:t>My utmost gratitude goes to the Almighty God for His divine wisdom, grace, and sustenance throughout the duration of my industrial attachment program.</w:t>
      </w:r>
    </w:p>
    <w:p>
      <w:pPr>
        <w:spacing w:line="480" w:lineRule="auto" w:before="0" w:after="120"/>
        <w:ind w:firstLine="720"/>
      </w:pPr>
      <w:r>
        <w:rPr>
          <w:rFonts w:ascii="Times New Roman" w:hAnsi="Times New Roman"/>
          <w:sz w:val="24"/>
        </w:rPr>
        <w:t>I express my profound gratitude to the management and technical staff of Nigerian Breweries Plc for providing the platform and technical resources to undergo my training. I am exceptionally grateful to my Industry Supervisor, Engr. Charles Nwosu (Senior Packaging Engineer), whose technical mentorship, patience, and daily guidance enriched my practical engineering experience.</w:t>
      </w:r>
    </w:p>
    <w:p>
      <w:pPr>
        <w:spacing w:line="480" w:lineRule="auto" w:before="0" w:after="120"/>
        <w:ind w:firstLine="720"/>
      </w:pPr>
      <w:r>
        <w:rPr>
          <w:rFonts w:ascii="Times New Roman" w:hAnsi="Times New Roman"/>
          <w:sz w:val="24"/>
        </w:rPr>
        <w:t>I also extend my sincere appreciation to my Academic Supervisor, Dr. M. A. Adebayo, the Departmental SIWES Coordinator, Engr. (Mrs.) F. E. Babatunde, and the Head of Department, Prof. J. K. Adewumi, for their administrative leadership and continuous oversight. Finally, my heartfelt thanks go to my beloved parents, family, and course mates for their unwavering moral encouragement, prayers, and support.</w:t>
      </w:r>
    </w:p>
    <w:p>
      <w:r>
        <w:br w:type="page"/>
      </w:r>
    </w:p>
    <w:p>
      <w:pPr>
        <w:pStyle w:val="Heading1"/>
        <w:spacing w:before="360" w:after="360" w:line="360" w:lineRule="auto"/>
        <w:jc w:val="center"/>
      </w:pPr>
      <w:r>
        <w:rPr>
          <w:rFonts w:ascii="Times New Roman" w:hAnsi="Times New Roman"/>
          <w:b/>
          <w:sz w:val="28"/>
        </w:rPr>
        <w:t>ABSTRACT</w:t>
      </w:r>
    </w:p>
    <w:p>
      <w:pPr>
        <w:spacing w:line="480" w:lineRule="auto" w:before="0" w:after="120"/>
        <w:ind w:firstLine="0"/>
      </w:pPr>
      <w:r>
        <w:rPr>
          <w:rFonts w:ascii="Times New Roman" w:hAnsi="Times New Roman"/>
          <w:sz w:val="24"/>
        </w:rPr>
        <w:t>This technical report documents the industrial training experience acquired during the Students Industrial Work Experience Scheme (SIWES) at Nigerian Breweries Plc, Abebe Village Road, Iganmu, Lagos State, by OGUNDELE, Boluwatife David (22/ENG05/019) of the Department of Mechanical Engineering, Landmark University, Omu-Aran. The primary purpose of the placement was to bridge the divide between theoretical classroom instruction and practical engineering applications. Over the attachment period spanning June 2026 to September 2026, the student was actively engaged in the Plant Utilities &amp; Packaging Maintenance Unit unit, executing routine maintenance, diagnostic fault analysis, calibration checks, and process automation in line with statutory safety standards. Real-world operational bottlenecks encountered were systematically investigated and mitigated using standard operating procedures and cross-functional team collaboration. The report highlights technical competencies gained, tools mastered, and tenders strategic recommendations to the Industrial Training Fund, Landmark University, and host organizations to sustain the high impact of the scheme.</w:t>
      </w:r>
    </w:p>
    <w:p>
      <w:r>
        <w:br w:type="page"/>
      </w:r>
    </w:p>
    <w:p>
      <w:pPr>
        <w:pStyle w:val="Heading1"/>
        <w:spacing w:before="360" w:after="360" w:line="360" w:lineRule="auto"/>
        <w:jc w:val="center"/>
      </w:pPr>
      <w:r>
        <w:rPr>
          <w:rFonts w:ascii="Times New Roman" w:hAnsi="Times New Roman"/>
          <w:b/>
          <w:sz w:val="28"/>
        </w:rPr>
        <w:t>TABLE OF CONTENTS</w:t>
      </w:r>
    </w:p>
    <w:p>
      <w:pPr>
        <w:spacing w:before="80" w:after="160" w:line="276" w:lineRule="auto"/>
      </w:pPr>
      <w:r>
        <w:rPr>
          <w:rFonts w:ascii="Times New Roman" w:hAnsi="Times New Roman"/>
          <w:i/>
          <w:color w:val="646464"/>
          <w:sz w:val="20"/>
        </w:rPr>
        <w:t>[Note: In Microsoft Word, right-click below and select 'Update Field' or press F9 to refresh full page numbers]</w:t>
      </w:r>
    </w:p>
    <w:p>
      <w:pPr>
        <w:spacing w:line="276" w:lineRule="auto" w:after="240"/>
      </w:pPr>
      <w:r>
        <w:fldChar w:fldCharType="begin"/>
        <w:instrText xml:space="preserve"> TOC \o "1-3" \h \z \u </w:instrText>
        <w:fldChar w:fldCharType="separate"/>
      </w:r>
      <w:r>
        <w:rPr>
          <w:rFonts w:ascii="Times New Roman" w:hAnsi="Times New Roman"/>
          <w:i/>
          <w:sz w:val="22"/>
        </w:rPr>
        <w:t>[Table of Contents — Generating automatically from headings on open]</w:t>
      </w:r>
      <w:r>
        <w:fldChar w:fldCharType="end"/>
      </w:r>
    </w:p>
    <w:p>
      <w:r>
        <w:br w:type="page"/>
      </w:r>
    </w:p>
    <w:p>
      <w:pPr>
        <w:pStyle w:val="Heading1"/>
        <w:spacing w:before="360" w:after="360" w:line="360" w:lineRule="auto"/>
        <w:jc w:val="center"/>
      </w:pPr>
      <w:r>
        <w:rPr>
          <w:rFonts w:ascii="Times New Roman" w:hAnsi="Times New Roman"/>
          <w:b/>
          <w:sz w:val="28"/>
        </w:rPr>
        <w:t>LIST OF ACRONYMS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4384"/>
        <w:gridCol w:w="4384"/>
      </w:tblGrid>
      <w:tr>
        <w:tc>
          <w:tcPr>
            <w:tcW w:type="dxa" w:w="4384"/>
            <w:tcBorders>
              <w:bottom w:val="single" w:sz="10" w:space="0" w:color="000000"/>
            </w:tcBorders>
            <w:shd w:fill="F2F2F2"/>
          </w:tcPr>
          <w:p>
            <w:r>
              <w:rPr>
                <w:b/>
              </w:rPr>
              <w:t>Acronym / Abbreviation</w:t>
            </w:r>
          </w:p>
        </w:tc>
        <w:tc>
          <w:tcPr>
            <w:tcW w:type="dxa" w:w="4384"/>
            <w:tcBorders>
              <w:bottom w:val="single" w:sz="10" w:space="0" w:color="000000"/>
            </w:tcBorders>
            <w:shd w:fill="F2F2F2"/>
          </w:tcPr>
          <w:p>
            <w:r>
              <w:rPr>
                <w:b/>
              </w:rPr>
              <w:t>Full Definition</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HOD</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Head of Department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ITF</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Industrial Training Fund</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PPE</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Personal Protective Equipment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SIWES</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Students Industrial Work Experience Scheme</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SOP</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Standard Operating Procedure</w:t>
            </w:r>
          </w:p>
        </w:tc>
      </w:tr>
    </w:tbl>
    <w:p>
      <w:pPr>
        <w:sectPr>
          <w:footerReference w:type="default" r:id="rId9"/>
          <w:pgSz w:w="11909" w:h="16834"/>
          <w:pgMar w:top="1440" w:right="1440" w:bottom="1440" w:left="1701" w:header="720" w:footer="720" w:gutter="0"/>
          <w:cols w:space="720"/>
          <w:titlePg/>
          <w:docGrid w:linePitch="360"/>
          <w:pgNumType w:fmt="lowerRoman" w:start="1"/>
        </w:sectPr>
      </w:pPr>
    </w:p>
    <w:p>
      <w:pPr>
        <w:pStyle w:val="Heading1"/>
        <w:spacing w:before="360" w:after="80" w:line="360" w:lineRule="auto"/>
        <w:jc w:val="center"/>
      </w:pPr>
      <w:r>
        <w:rPr>
          <w:rFonts w:ascii="Times New Roman" w:hAnsi="Times New Roman"/>
          <w:b/>
          <w:sz w:val="28"/>
        </w:rPr>
        <w:t>CHAPTER ONE</w:t>
        <w:br/>
        <w:t>1.0 INTRODUCTION</w:t>
      </w:r>
    </w:p>
    <w:p>
      <w:pPr>
        <w:pStyle w:val="Heading2"/>
        <w:keepNext/>
        <w:spacing w:before="280" w:after="120" w:line="360" w:lineRule="auto"/>
      </w:pPr>
      <w:r>
        <w:rPr>
          <w:rFonts w:ascii="Times New Roman" w:hAnsi="Times New Roman"/>
          <w:b/>
          <w:sz w:val="24"/>
        </w:rPr>
        <w:t>1.1 Background of the Industrial Training Fund (ITF)</w:t>
      </w:r>
    </w:p>
    <w:p>
      <w:pPr>
        <w:spacing w:line="480" w:lineRule="auto" w:before="0" w:after="120"/>
        <w:ind w:firstLine="720"/>
      </w:pPr>
      <w:r>
        <w:rPr>
          <w:rFonts w:ascii="Times New Roman" w:hAnsi="Times New Roman"/>
          <w:sz w:val="24"/>
        </w:rPr>
        <w:t>The Industrial Training Fund (ITF) was established under Decree No. 47 of 8th October, 1971 (now known as the Industrial Training Fund Act, Cap. I9, Laws of the Federation of Nigeria, 2004). The primary impetus for its creation was to stimulate human resource development and promote industrial and commercial skills acquisition across the Nigerian economy. In the years following national independence, Nigeria experienced rapid economic expansion, yet the domestic labor market suffered from an acute shortage of indigenous technical personnel capable of installing, maintaining, and managing modern industrial infrastructure.</w:t>
      </w:r>
    </w:p>
    <w:p>
      <w:pPr>
        <w:spacing w:line="480" w:lineRule="auto" w:before="0" w:after="120"/>
        <w:ind w:firstLine="720"/>
      </w:pPr>
      <w:r>
        <w:rPr>
          <w:rFonts w:ascii="Times New Roman" w:hAnsi="Times New Roman"/>
          <w:sz w:val="24"/>
        </w:rPr>
        <w:t>Recognizing that reliance on foreign expatriates was neither economically sustainable nor strategically sound, the Federal Military Government promulgated the ITF Decree to foster a self-reliant industrial workforce. The Decree empowered the Fund to generate vocational training policies, establish world-class technical development centers, and enforce mandatory apprenticeship and training guidelines across private and public enterprises employing 25 or more workers.</w:t>
      </w:r>
    </w:p>
    <w:p>
      <w:pPr>
        <w:spacing w:line="480" w:lineRule="auto" w:before="0" w:after="120"/>
        <w:ind w:firstLine="720"/>
      </w:pPr>
      <w:r>
        <w:rPr>
          <w:rFonts w:ascii="Times New Roman" w:hAnsi="Times New Roman"/>
          <w:sz w:val="24"/>
        </w:rPr>
        <w:t>The operations of the Industrial Training Fund are financed through statutory subventions and an established training levy of one percent (1%) of annual payroll contributed by qualifying commercial employers. In return, the Fund reimburses employers up to fifty percent (50%) of training costs incurred when staff participate in accredited skills-upgrading programs. Over its half-century of existence, the ITF has expanded its operational footprint to encompass over 40 Area Offices, multiple Industrial Skills Training Centres (ISTCs), and specialized vocational academies across Nigeria. Through sustained stakeholder engagement, the ITF serves as the paramount bridge linking tertiary academic institutions with dynamic industrial operations.</w:t>
      </w:r>
    </w:p>
    <w:p>
      <w:pPr>
        <w:pStyle w:val="Heading2"/>
        <w:keepNext/>
        <w:spacing w:before="280" w:after="120" w:line="360" w:lineRule="auto"/>
      </w:pPr>
      <w:r>
        <w:rPr>
          <w:rFonts w:ascii="Times New Roman" w:hAnsi="Times New Roman"/>
          <w:b/>
          <w:sz w:val="24"/>
        </w:rPr>
        <w:t>1.2 Historical Background of SIWES</w:t>
      </w:r>
    </w:p>
    <w:p>
      <w:pPr>
        <w:spacing w:line="480" w:lineRule="auto" w:before="0" w:after="120"/>
        <w:ind w:firstLine="720"/>
      </w:pPr>
      <w:r>
        <w:rPr>
          <w:rFonts w:ascii="Times New Roman" w:hAnsi="Times New Roman"/>
          <w:sz w:val="24"/>
        </w:rPr>
        <w:t>The Students Industrial Work Experience Scheme (SIWES) was conceived and officially inaugurated by the Industrial Training Fund in 1973. The inception of the scheme was a direct response to persistent feedback from employers of labor, who observed that graduates from Nigerian universities, polytechnics, and colleges of education possessed robust theoretical understanding but suffered from a severe deficit in practical, hands-on industrial skills and machine operations.</w:t>
      </w:r>
    </w:p>
    <w:p>
      <w:pPr>
        <w:spacing w:line="480" w:lineRule="auto" w:before="0" w:after="120"/>
        <w:ind w:firstLine="720"/>
      </w:pPr>
      <w:r>
        <w:rPr>
          <w:rFonts w:ascii="Times New Roman" w:hAnsi="Times New Roman"/>
          <w:sz w:val="24"/>
        </w:rPr>
        <w:t>During its formative phase between 1973 and 1978, the ITF wholly administered and funded the scheme. However, as student enrollments surged exponentially across tertiary institutions, the administrative burden exceeded the Fund's standalone logistics capability. Consequently, in 1979, the management of the scheme was temporarily decentralized and transferred to the National Universities Commission (NUC) and the National Board for Technical Education (NBTE). By November 1984, the Federal Government returned executive administration to the ITF, while establishing a tripartite supervisory structure involving the academic regulatory commissions (NUC, NBTE, NCCE), participating educational institutions, and industrial employers.</w:t>
      </w:r>
    </w:p>
    <w:p>
      <w:pPr>
        <w:pStyle w:val="Heading2"/>
        <w:keepNext/>
        <w:spacing w:before="280" w:after="120" w:line="360" w:lineRule="auto"/>
      </w:pPr>
      <w:r>
        <w:rPr>
          <w:rFonts w:ascii="Times New Roman" w:hAnsi="Times New Roman"/>
          <w:b/>
          <w:sz w:val="24"/>
        </w:rPr>
        <w:t>1.3 Objectives of SIWES</w:t>
      </w:r>
    </w:p>
    <w:p>
      <w:pPr>
        <w:spacing w:line="480" w:lineRule="auto" w:before="0" w:after="120"/>
        <w:ind w:firstLine="720"/>
      </w:pPr>
      <w:r>
        <w:rPr>
          <w:rFonts w:ascii="Times New Roman" w:hAnsi="Times New Roman"/>
          <w:sz w:val="24"/>
        </w:rPr>
        <w:t>The fundamental statutory objectives of the Students Industrial Work Experience Scheme (SIWES) include:</w:t>
      </w:r>
    </w:p>
    <w:p>
      <w:pPr>
        <w:spacing w:line="480" w:lineRule="auto" w:before="0" w:after="120"/>
        <w:ind w:firstLine="720"/>
      </w:pPr>
      <w:r>
        <w:rPr>
          <w:rFonts w:ascii="Times New Roman" w:hAnsi="Times New Roman"/>
          <w:sz w:val="24"/>
        </w:rPr>
        <w:t>1. To provide tertiary undergraduates with direct industrial exposure, affording them structured opportunities to apply theoretical classroom formulations to real-world operational challenges.</w:t>
      </w:r>
    </w:p>
    <w:p>
      <w:pPr>
        <w:spacing w:line="480" w:lineRule="auto" w:before="0" w:after="120"/>
        <w:ind w:firstLine="720"/>
      </w:pPr>
      <w:r>
        <w:rPr>
          <w:rFonts w:ascii="Times New Roman" w:hAnsi="Times New Roman"/>
          <w:sz w:val="24"/>
        </w:rPr>
        <w:t>2. To familiarize students with sophisticated manufacturing processes, automated machinery, diagnostic instrumentation, and specialized tools not typically accessible within academic laboratory facilities.</w:t>
      </w:r>
    </w:p>
    <w:p>
      <w:pPr>
        <w:spacing w:line="480" w:lineRule="auto" w:before="0" w:after="120"/>
        <w:ind w:firstLine="720"/>
      </w:pPr>
      <w:r>
        <w:rPr>
          <w:rFonts w:ascii="Times New Roman" w:hAnsi="Times New Roman"/>
          <w:sz w:val="24"/>
        </w:rPr>
        <w:t>3. To cultivate professional ethics, occupational health and safety awareness, corporate discipline, leadership, and cross-functional team communication in demanding industrial settings.</w:t>
      </w:r>
    </w:p>
    <w:p>
      <w:pPr>
        <w:spacing w:line="480" w:lineRule="auto" w:before="0" w:after="120"/>
        <w:ind w:firstLine="720"/>
      </w:pPr>
      <w:r>
        <w:rPr>
          <w:rFonts w:ascii="Times New Roman" w:hAnsi="Times New Roman"/>
          <w:sz w:val="24"/>
        </w:rPr>
        <w:t>4. To ease the transition of university students into the corporate workforce and foster industrial employer contacts that facilitate future post-graduation employment opportunities.</w:t>
      </w:r>
    </w:p>
    <w:p>
      <w:pPr>
        <w:spacing w:line="480" w:lineRule="auto" w:before="0" w:after="120"/>
        <w:ind w:firstLine="720"/>
      </w:pPr>
      <w:r>
        <w:rPr>
          <w:rFonts w:ascii="Times New Roman" w:hAnsi="Times New Roman"/>
          <w:sz w:val="24"/>
        </w:rPr>
        <w:t>5. To enlist the active partnership of Nigerian industries in the comprehensive educational preparation of scientists, engineers, technologists, and applied professionals, thereby ensuring national technological self-reliance.</w:t>
      </w:r>
    </w:p>
    <w:p>
      <w:pPr>
        <w:pStyle w:val="Heading2"/>
        <w:keepNext/>
        <w:spacing w:before="280" w:after="120" w:line="360" w:lineRule="auto"/>
      </w:pPr>
      <w:r>
        <w:rPr>
          <w:rFonts w:ascii="Times New Roman" w:hAnsi="Times New Roman"/>
          <w:b/>
          <w:sz w:val="24"/>
        </w:rPr>
        <w:t>1.4 History and Background of the Organisation where SIWES was Undertaken (Nigerian Breweries Plc)</w:t>
      </w:r>
    </w:p>
    <w:p>
      <w:pPr>
        <w:spacing w:line="480" w:lineRule="auto" w:before="0" w:after="120"/>
        <w:ind w:firstLine="720"/>
      </w:pPr>
      <w:r>
        <w:rPr>
          <w:rFonts w:ascii="Times New Roman" w:hAnsi="Times New Roman"/>
          <w:sz w:val="24"/>
        </w:rPr>
        <w:t>Nigerian Breweries Plc is an esteemed corporate entity operating within the Industrial Brewing, Packaging &amp; Utilities Engineering sector, with its operational headquarters located at Abebe Village Road, Iganmu, Lagos State. Established with a strategic objective to provide world-class technical services and industrial products, the organization has consistently distinguished itself through robust quality assurance, compliance with regulatory safety frameworks, and innovation.</w:t>
      </w:r>
    </w:p>
    <w:p>
      <w:pPr>
        <w:spacing w:line="480" w:lineRule="auto" w:before="0" w:after="120"/>
        <w:ind w:firstLine="720"/>
      </w:pPr>
      <w:r>
        <w:rPr>
          <w:rFonts w:ascii="Times New Roman" w:hAnsi="Times New Roman"/>
          <w:sz w:val="24"/>
        </w:rPr>
        <w:t>Nigerian Breweries Plc is the pioneer and largest brewing company in Nigeria.</w:t>
      </w:r>
    </w:p>
    <w:p>
      <w:pPr>
        <w:spacing w:line="480" w:lineRule="auto" w:before="0" w:after="120"/>
        <w:ind w:firstLine="720"/>
      </w:pPr>
      <w:r>
        <w:rPr>
          <w:rFonts w:ascii="Times New Roman" w:hAnsi="Times New Roman"/>
          <w:sz w:val="24"/>
        </w:rPr>
        <w:t>Through sustained investment in contemporary machinery, advanced diagnostic infrastructure, and continuous human capital training, Nigerian Breweries Plc plays a vital role in national infrastructural development and industrial self-reliance.</w:t>
      </w:r>
    </w:p>
    <w:p>
      <w:pPr>
        <w:pStyle w:val="Heading2"/>
        <w:keepNext/>
        <w:spacing w:before="280" w:after="120" w:line="360" w:lineRule="auto"/>
      </w:pPr>
      <w:r>
        <w:rPr>
          <w:rFonts w:ascii="Times New Roman" w:hAnsi="Times New Roman"/>
          <w:b/>
          <w:sz w:val="24"/>
        </w:rPr>
        <w:t>1.5 Objectives and Organisation Chart of Nigerian Breweries Plc</w:t>
      </w:r>
    </w:p>
    <w:p>
      <w:pPr>
        <w:spacing w:line="480" w:lineRule="auto" w:before="0" w:after="120"/>
        <w:ind w:firstLine="720"/>
      </w:pPr>
      <w:r>
        <w:rPr>
          <w:rFonts w:ascii="Times New Roman" w:hAnsi="Times New Roman"/>
          <w:sz w:val="24"/>
        </w:rPr>
        <w:t>The primary corporate and operational objectives of Nigerian Breweries Plc are centered on achieving high manufacturing throughput, sustaining zero lost-time incidents (LTI) through rigorous occupational safety management, and continuously upgrading plant automation to eliminate operational bottlenecks.</w:t>
      </w:r>
    </w:p>
    <w:p>
      <w:pPr>
        <w:spacing w:line="480" w:lineRule="auto" w:before="0" w:after="120"/>
        <w:ind w:firstLine="720"/>
      </w:pPr>
      <w:r>
        <w:rPr>
          <w:rFonts w:ascii="Times New Roman" w:hAnsi="Times New Roman"/>
          <w:sz w:val="24"/>
        </w:rPr>
        <w:t>The organisational hierarchy is structured to ensure direct accountability, seamless workflow execution, and rapid communication between executive management, engineering maintenance divisions, production crews, and quality control departments. During the training attachment, the student was assigned to the Plant Utilities &amp; Packaging Maintenance Unit, reporting directly to Reported to the Shift Operations Engineer and Packaging Line Superintendent under the immediate mentorship of Engr. Charles Nwosu (Senior Packaging Engineer).</w:t>
      </w:r>
    </w:p>
    <w:p>
      <w:pPr>
        <w:spacing w:line="480" w:lineRule="auto" w:before="0" w:after="120"/>
        <w:ind w:firstLine="720"/>
      </w:pPr>
      <w:r>
        <w:rPr>
          <w:rFonts w:ascii="Times New Roman" w:hAnsi="Times New Roman"/>
          <w:sz w:val="24"/>
        </w:rPr>
        <w:t>The reporting relationships, functional divisions, and operational channels of command are illustrated in the functional organisational chart presented in Fig. 1.1.</w:t>
      </w:r>
    </w:p>
    <w:p>
      <w:pPr>
        <w:keepNext/>
        <w:spacing w:before="200" w:after="80"/>
        <w:jc w:val="center"/>
      </w:pPr>
      <w:r>
        <w:drawing>
          <wp:inline xmlns:a="http://schemas.openxmlformats.org/drawingml/2006/main" xmlns:pic="http://schemas.openxmlformats.org/drawingml/2006/picture">
            <wp:extent cx="4937760" cy="288669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2886690"/>
                    </a:xfrm>
                    <a:prstGeom prst="rect"/>
                  </pic:spPr>
                </pic:pic>
              </a:graphicData>
            </a:graphic>
          </wp:inline>
        </w:drawing>
      </w:r>
    </w:p>
    <w:p>
      <w:pPr>
        <w:keepNext/>
        <w:spacing w:before="40" w:after="40" w:line="240" w:lineRule="auto"/>
        <w:jc w:val="center"/>
      </w:pPr>
      <w:r>
        <w:rPr>
          <w:rFonts w:ascii="Times New Roman" w:hAnsi="Times New Roman"/>
          <w:b/>
          <w:sz w:val="22"/>
        </w:rPr>
        <w:t>Fig. 1.1: Functional Organisational Structure of Nigerian Breweries Plc</w:t>
      </w:r>
    </w:p>
    <w:p>
      <w:pPr>
        <w:spacing w:before="0" w:after="240" w:line="240" w:lineRule="auto"/>
        <w:jc w:val="center"/>
      </w:pPr>
      <w:r>
        <w:rPr>
          <w:rFonts w:ascii="Times New Roman" w:hAnsi="Times New Roman"/>
          <w:i/>
          <w:sz w:val="20"/>
        </w:rPr>
        <w:t>Source: Author's computation, 2026.</w:t>
      </w:r>
    </w:p>
    <w:p>
      <w:r>
        <w:br w:type="page"/>
      </w:r>
    </w:p>
    <w:p>
      <w:pPr>
        <w:pStyle w:val="Heading1"/>
        <w:spacing w:before="360" w:after="80" w:line="360" w:lineRule="auto"/>
        <w:jc w:val="center"/>
      </w:pPr>
      <w:r>
        <w:rPr>
          <w:rFonts w:ascii="Times New Roman" w:hAnsi="Times New Roman"/>
          <w:b/>
          <w:sz w:val="28"/>
        </w:rPr>
        <w:t>CHAPTER TWO</w:t>
        <w:br/>
        <w:t>2.0 OVERVIEW OF ACTIVITIES / PROJECTS CARRIED OUT</w:t>
      </w:r>
    </w:p>
    <w:p>
      <w:pPr>
        <w:pStyle w:val="Heading2"/>
        <w:keepNext/>
        <w:spacing w:before="280" w:after="120" w:line="360" w:lineRule="auto"/>
      </w:pPr>
      <w:r>
        <w:rPr>
          <w:rFonts w:ascii="Times New Roman" w:hAnsi="Times New Roman"/>
          <w:b/>
          <w:sz w:val="24"/>
        </w:rPr>
        <w:t>2.1 Weekly Log of Industrial Operations (Full 12-Week Schedule)</w:t>
      </w:r>
    </w:p>
    <w:p>
      <w:pPr>
        <w:spacing w:line="480" w:lineRule="auto" w:before="0" w:after="120"/>
        <w:ind w:firstLine="720"/>
      </w:pPr>
      <w:r>
        <w:rPr>
          <w:rFonts w:ascii="Times New Roman" w:hAnsi="Times New Roman"/>
          <w:sz w:val="24"/>
        </w:rPr>
        <w:t>A systematic, detailed log of engineering duties, plant inspections, equipment overhauls, and diagnostic workflows was maintained throughout the 12-week industrial training attachment. Table 2.1 presents the sequential progression of practical tasks, engineering operational units visited, standard procedures executed, and technical competencies acquired.</w:t>
      </w:r>
    </w:p>
    <w:p>
      <w:pPr>
        <w:keepNext/>
        <w:spacing w:before="160" w:after="80" w:line="240" w:lineRule="auto"/>
      </w:pPr>
      <w:r>
        <w:rPr>
          <w:rFonts w:ascii="Times New Roman" w:hAnsi="Times New Roman"/>
          <w:b/>
          <w:sz w:val="22"/>
        </w:rPr>
        <w:t>Table 2.1: Summary of Weekly Industrial Activities, Operational Procedures, and Technical Competencies (12 Weeks)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192"/>
        <w:gridCol w:w="2192"/>
        <w:gridCol w:w="2192"/>
        <w:gridCol w:w="2192"/>
      </w:tblGrid>
      <w:tr>
        <w:tc>
          <w:tcPr>
            <w:tcW w:type="dxa" w:w="2192"/>
            <w:tcBorders>
              <w:bottom w:val="single" w:sz="10" w:space="0" w:color="000000"/>
            </w:tcBorders>
            <w:shd w:fill="EAEAEA"/>
          </w:tcPr>
          <w:p>
            <w:r>
              <w:rPr>
                <w:b/>
              </w:rPr>
              <w:t>Week / Period</w:t>
            </w:r>
          </w:p>
        </w:tc>
        <w:tc>
          <w:tcPr>
            <w:tcW w:type="dxa" w:w="2192"/>
            <w:tcBorders>
              <w:bottom w:val="single" w:sz="10" w:space="0" w:color="000000"/>
            </w:tcBorders>
            <w:shd w:fill="EAEAEA"/>
          </w:tcPr>
          <w:p>
            <w:r>
              <w:rPr>
                <w:b/>
              </w:rPr>
              <w:t>Department / Operational Unit</w:t>
            </w:r>
          </w:p>
        </w:tc>
        <w:tc>
          <w:tcPr>
            <w:tcW w:type="dxa" w:w="2192"/>
            <w:tcBorders>
              <w:bottom w:val="single" w:sz="10" w:space="0" w:color="000000"/>
            </w:tcBorders>
            <w:shd w:fill="EAEAEA"/>
          </w:tcPr>
          <w:p>
            <w:r>
              <w:rPr>
                <w:b/>
              </w:rPr>
              <w:t>Industrial Activities &amp; Operational Tasks</w:t>
            </w:r>
          </w:p>
        </w:tc>
        <w:tc>
          <w:tcPr>
            <w:tcW w:type="dxa" w:w="2192"/>
            <w:tcBorders>
              <w:bottom w:val="single" w:sz="10" w:space="0" w:color="000000"/>
            </w:tcBorders>
            <w:shd w:fill="EAEAEA"/>
          </w:tcPr>
          <w:p>
            <w:r>
              <w:rPr>
                <w:b/>
              </w:rPr>
              <w:t>Tools, Equipment &amp; Skills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w:t>
              <w:br/>
              <w:t>(1st June - 5th June 2026)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HSE &amp; Induction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Completed statutory safety induction, LOTO procedures, PPE fitting, and plant familiarization.</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PPE, LOTO safety padlocks, hazard inspection sheets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w:t>
              <w:br/>
              <w:t>(Week 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Plant Utilities &amp; Packaging Maintenance Unit - Workshop Tooling &amp; Lock-Out/Tag-Out (LOTO) Procedures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Familiarized with central workshop tools, mechanical isolation procedures, lock-out/tag-out (LOTO) safety protocol, and permits-to-work (PTW) documentation.</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LOTO padlocks and tags, torque wrenches, bench vises, hand tools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3</w:t>
              <w:br/>
              <w:t>(Week 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Plant Utilities &amp; Packaging Maintenance Unit - Engineering Drawing &amp; P&amp;ID Schematic Interpretation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Studied process flow diagrams (PFD), piping and instrumentation diagrams (P&amp;ID), and electrical single-line diagrams for plant machinery.</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AutoCAD schematics, blue-print engineering drawings, P&amp;ID symbol charts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4</w:t>
              <w:br/>
              <w:t>(Week 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Plant Utilities &amp; Packaging Maintenance Unit - Diagnostic Instruments &amp; Calibration Setup</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Hands-on training with precision measurement tools: vernier calipers, digital micrometers, infrared thermometers, and pressure gauges. Assisted in routine calibration checks.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Vernier calipers, micrometer screw gauges, dial test indicators, pressure calibrators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5</w:t>
              <w:br/>
              <w:t>(Week 5)</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Plant Utilities &amp; Packaging Maintenance Unit - Primary Rotating Machinery Operations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Monitored operation of heavy rotating equipment: centrifugal pumps, air compressors, and electric drive motors. Recorded operating temperatures, suction/discharge pressures, and lube oil levels.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Vibration pen meters, infrared thermal cameras, daily equipment log sheets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6</w:t>
              <w:br/>
              <w:t>(Week 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Plant Utilities &amp; Packaging Maintenance Unit - Thermodynamic &amp; Heat Transfer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shell-and-tube heat exchangers, cooling towers, and steam condensate return lines. Checked heat transfer efficiency and water flow rates.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Digital temperature probes, flow meters, water quality testing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7</w:t>
              <w:br/>
              <w:t>(Week 7)</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Plant Utilities &amp; Packaging Maintenance Unit - Boiler House &amp; Steam Generation Plant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Assisted plant operators in monitoring industrial water-tube boilers. Checked boiler drum water levels, fuel firing rates, and flue gas emissions.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Flue gas analyzer, boiler control console, water gauge glasses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8</w:t>
              <w:br/>
              <w:t>(Week 8)</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Plant Utilities &amp; Packaging Maintenance Unit - Feedwater Treatment &amp; Deaeration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boiler feedwater chemical dosing and deaerator maintenance. Conducted routine titration checks for dissolved oxygen, pH, and total dissolved solids (TDS).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TDS meters, pH probes, chemical dosing pumps, titration test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9</w:t>
              <w:br/>
              <w:t>(Week 9)</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Plant Utilities &amp; Packaging Maintenance Unit - Pumping Station Overhaul &amp; Casing Inspection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Dismantled multi-stage centrifugal pump for scheduled maintenance. Inspected casing for erosion/corrosion, checked wear ring clearances, and cleaned impeller vanes.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Hydraulic pullers, feeler gauges, degreasers, mechanical crane hoists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10</w:t>
              <w:br/>
              <w:t>(Week 10)</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Plant Utilities &amp; Packaging Maintenance Unit - Mechanical Seal Installation &amp; Shaft Servicing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Replaced worn gland packing with modern cartridge mechanical seals. Polished pump shaft sleeve and verified axial run-out.</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Dial indicators, mechanical seal kits, fine emery paper, torque wrenches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11</w:t>
              <w:br/>
              <w:t>(Week 11)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Plant Utilities &amp; Packaging Maintenance Unit - Laser Shaft Alignment &amp; Dynamic Balancing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Performed precision laser alignment between drive motor and driven pump shaft. Corrected angular and parallel misalignment using stainless steel shims.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Easy-Laser optical alignment system, stainless shims, leveling jacks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12</w:t>
              <w:br/>
              <w:t>(Week 12)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Plant Utilities &amp; Packaging Maintenance Unit - Industrial Gearbox Inspection &amp; Lubrication Management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reduction gearbox gear mesh patterns, backlash clearances, and lube oil quality. Drained degraded oil and refilled with ISO VG 320 synthetic gear oil.</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Feeler gauges, oil sampling pump, viscosity comparator, fresh gear lubricant</w:t>
            </w:r>
          </w:p>
        </w:tc>
      </w:tr>
    </w:tbl>
    <w:p>
      <w:pPr>
        <w:spacing w:before="40" w:after="280" w:line="240" w:lineRule="auto"/>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2.2 Phase-by-Phase Technical Training Breakdown</w:t>
      </w:r>
    </w:p>
    <w:p>
      <w:pPr>
        <w:pStyle w:val="Heading3"/>
        <w:keepNext/>
        <w:spacing w:before="200" w:after="80" w:line="360" w:lineRule="auto"/>
      </w:pPr>
      <w:r>
        <w:rPr>
          <w:rFonts w:ascii="Times New Roman" w:hAnsi="Times New Roman"/>
          <w:b/>
          <w:i/>
          <w:sz w:val="24"/>
        </w:rPr>
        <w:t>2.2.1 Phase I: Health, Safety, Environment (HSE) &amp; Induction (Weeks 1–3)</w:t>
      </w:r>
    </w:p>
    <w:p>
      <w:pPr>
        <w:spacing w:line="480" w:lineRule="auto" w:before="0" w:after="120"/>
        <w:ind w:firstLine="720"/>
      </w:pPr>
      <w:r>
        <w:rPr>
          <w:rFonts w:ascii="Times New Roman" w:hAnsi="Times New Roman"/>
          <w:sz w:val="24"/>
        </w:rPr>
        <w:t>The initial phase of the industrial attachment focused on statutory plant safety regulations, risk mitigation, and industrial hygiene. Operating within a high-throughput industrial environment carries inherent hazards, including superheated steam lines, rotating machinery, high-voltage switchboards, and pressurized vessels. The student completed comprehensive safety training covering the hierarchy of hazard controls: Elimination, Substitution, Engineering Controls, Administrative Controls, and PPE.</w:t>
      </w:r>
    </w:p>
    <w:p>
      <w:pPr>
        <w:spacing w:line="480" w:lineRule="auto" w:before="0" w:after="120"/>
        <w:ind w:firstLine="720"/>
      </w:pPr>
      <w:r>
        <w:rPr>
          <w:rFonts w:ascii="Times New Roman" w:hAnsi="Times New Roman"/>
          <w:sz w:val="24"/>
        </w:rPr>
        <w:t>Rigorous practical training was dedicated to the Lock-Out/Tag-Out (LOTO) safety protocol. The student learned the procedure for isolating motor drive circuits, bleeding hydraulic accumulators, locking out valves with tagged padlocks, and verifying zero energy state prior to component servicing. Workshop tooling familiarization included torque wrenches, micrometer gauges, and reading P&amp;IDs.</w:t>
      </w:r>
    </w:p>
    <w:p>
      <w:pPr>
        <w:pStyle w:val="Heading3"/>
        <w:keepNext/>
        <w:spacing w:before="200" w:after="80" w:line="360" w:lineRule="auto"/>
      </w:pPr>
      <w:r>
        <w:rPr>
          <w:rFonts w:ascii="Times New Roman" w:hAnsi="Times New Roman"/>
          <w:b/>
          <w:i/>
          <w:sz w:val="24"/>
        </w:rPr>
        <w:t>2.2.2 Phase II: Primary Machinery &amp; Utility Operations (Weeks 4–6)</w:t>
      </w:r>
    </w:p>
    <w:p>
      <w:pPr>
        <w:spacing w:line="480" w:lineRule="auto" w:before="0" w:after="120"/>
        <w:ind w:firstLine="720"/>
      </w:pPr>
      <w:r>
        <w:rPr>
          <w:rFonts w:ascii="Times New Roman" w:hAnsi="Times New Roman"/>
          <w:sz w:val="24"/>
        </w:rPr>
        <w:t>During the second phase, practical duties shifted to active plant utility and thermodynamic generation sections. Industrial manufacturing relies heavily on stable steam and electrical co-generation. The student was assigned to monitor multi-stage water-tube boilers, steam turbines, and cooling water circuits under senior operational engineers.</w:t>
      </w:r>
    </w:p>
    <w:p>
      <w:pPr>
        <w:spacing w:line="480" w:lineRule="auto" w:before="0" w:after="120"/>
        <w:ind w:firstLine="720"/>
      </w:pPr>
      <w:r>
        <w:rPr>
          <w:rFonts w:ascii="Times New Roman" w:hAnsi="Times New Roman"/>
          <w:sz w:val="24"/>
        </w:rPr>
        <w:t>Daily technical routines included logging turbine bearing temperatures, checking condenser vacuum pressure, recording steam mass flow rates, and inspecting steam traps using ultrasonic diagnostic detectors. In the boiler house, the student learned the biochemical necessity of industrial water treatment, measuring total dissolved solids (TDS), pH levels, and dissolved oxygen to prevent catastrophic scale formation and corrosion on high-pressure boiler tubes.</w:t>
      </w:r>
    </w:p>
    <w:p>
      <w:pPr>
        <w:pStyle w:val="Heading3"/>
        <w:keepNext/>
        <w:spacing w:before="200" w:after="80" w:line="360" w:lineRule="auto"/>
      </w:pPr>
      <w:r>
        <w:rPr>
          <w:rFonts w:ascii="Times New Roman" w:hAnsi="Times New Roman"/>
          <w:b/>
          <w:i/>
          <w:sz w:val="24"/>
        </w:rPr>
        <w:t>2.2.3 Phase III: Rotating Machinery, Overhauls &amp; Fluid Power (Weeks 7–9)</w:t>
      </w:r>
    </w:p>
    <w:p>
      <w:pPr>
        <w:spacing w:line="480" w:lineRule="auto" w:before="0" w:after="120"/>
        <w:ind w:firstLine="720"/>
      </w:pPr>
      <w:r>
        <w:rPr>
          <w:rFonts w:ascii="Times New Roman" w:hAnsi="Times New Roman"/>
          <w:sz w:val="24"/>
        </w:rPr>
        <w:t>Phase III provided rigorous hands-on exposure to mechanical rotating machinery and fluid power automation. The student participated in scheduled overhauls of multi-stage centrifugal pumps, inspecting casing wear rings, dressing shaft sleeves, and installing modern cartridge mechanical seals. Precision laser alignment was conducted between electric drive motors and driven pump shafts to bring angular and offset alignment within strict ISO tolerances (&lt;0.05 mm).</w:t>
      </w:r>
    </w:p>
    <w:p>
      <w:pPr>
        <w:spacing w:line="480" w:lineRule="auto" w:before="0" w:after="120"/>
        <w:ind w:firstLine="720"/>
      </w:pPr>
      <w:r>
        <w:rPr>
          <w:rFonts w:ascii="Times New Roman" w:hAnsi="Times New Roman"/>
          <w:sz w:val="24"/>
        </w:rPr>
        <w:t>In the fluid power section, the student worked on electro-hydraulic power units (HPUs) and pneumatic material handling networks. Tasks involved cleaning solenoid valve spools, replacing polyurethane piston seals on hydraulic rams, draining moisture from compressed air lines, and setting line pressures on pilot-operated pressure relief valves.</w:t>
      </w:r>
    </w:p>
    <w:p>
      <w:pPr>
        <w:pStyle w:val="Heading3"/>
        <w:keepNext/>
        <w:spacing w:before="200" w:after="80" w:line="360" w:lineRule="auto"/>
      </w:pPr>
      <w:r>
        <w:rPr>
          <w:rFonts w:ascii="Times New Roman" w:hAnsi="Times New Roman"/>
          <w:b/>
          <w:i/>
          <w:sz w:val="24"/>
        </w:rPr>
        <w:t>2.2.4 Phase IV: Diagnostics, Condition Monitoring &amp; Handover (Weeks 10–12)</w:t>
      </w:r>
    </w:p>
    <w:p>
      <w:pPr>
        <w:spacing w:line="480" w:lineRule="auto" w:before="0" w:after="120"/>
        <w:ind w:firstLine="720"/>
      </w:pPr>
      <w:r>
        <w:rPr>
          <w:rFonts w:ascii="Times New Roman" w:hAnsi="Times New Roman"/>
          <w:sz w:val="24"/>
        </w:rPr>
        <w:t>The concluding phase immersed the student in predictive condition monitoring and quality assurance. Using portable vibration analyzers, the student gathered baseline velocity spectrums (RMS) across motor and gearbox bearings, analyzing Fast Fourier Transform (FFT) graphs to identify unbalance and misalignment. In the control room, telemetry trends on SCADA and PLC consoles were monitored for process stability.</w:t>
      </w:r>
    </w:p>
    <w:p>
      <w:pPr>
        <w:spacing w:line="480" w:lineRule="auto" w:before="0" w:after="120"/>
        <w:ind w:firstLine="720"/>
      </w:pPr>
      <w:r>
        <w:rPr>
          <w:rFonts w:ascii="Times New Roman" w:hAnsi="Times New Roman"/>
          <w:sz w:val="24"/>
        </w:rPr>
        <w:t>The placement culminated in assisting quality assurance technicians with laboratory testing of manufactured outputs, closing out work orders in the Computerized Maintenance Management System (CMMS), securing supervisor evaluations, and completing official SIWES logbook and ITF Form 8 clearances.</w:t>
      </w:r>
    </w:p>
    <w:p>
      <w:pPr>
        <w:pStyle w:val="Heading2"/>
        <w:keepNext/>
        <w:spacing w:before="280" w:after="120" w:line="360" w:lineRule="auto"/>
      </w:pPr>
      <w:r>
        <w:rPr>
          <w:rFonts w:ascii="Times New Roman" w:hAnsi="Times New Roman"/>
          <w:b/>
          <w:sz w:val="24"/>
        </w:rPr>
        <w:t>2.3 Core Operational Engineering Procedures</w:t>
      </w:r>
    </w:p>
    <w:p>
      <w:pPr>
        <w:spacing w:line="480" w:lineRule="auto" w:before="0" w:after="120"/>
        <w:ind w:firstLine="720"/>
      </w:pPr>
      <w:r>
        <w:rPr>
          <w:rFonts w:ascii="Times New Roman" w:hAnsi="Times New Roman"/>
          <w:sz w:val="24"/>
        </w:rPr>
        <w:t>To ensure standardized execution and occupational safety, all maintenance interventions at Nigerian Breweries Plc followed documented Standard Operating Procedures (SOPs). Below are two primary engineering workflows regularly executed by the student:</w:t>
      </w:r>
    </w:p>
    <w:p>
      <w:pPr>
        <w:spacing w:line="480" w:lineRule="auto" w:before="0" w:after="120"/>
        <w:ind w:firstLine="720"/>
      </w:pPr>
      <w:r>
        <w:rPr>
          <w:rFonts w:ascii="Times New Roman" w:hAnsi="Times New Roman"/>
          <w:sz w:val="24"/>
        </w:rPr>
        <w:t>1. Standard Operating Procedure for Rotating Equipment Laser Alignment:</w:t>
        <w:br/>
        <w:t xml:space="preserve">   a. Isolate electric motor power supply via breaker lockout and verify zero energy state with a calibrated multimeter.</w:t>
        <w:br/>
        <w:t xml:space="preserve">   b. Disengage coupling guard and clean shaft surfaces using solvent and fine wire brush.</w:t>
        <w:br/>
        <w:t xml:space="preserve">   c. Mount transmitter and detector optical laser sensor heads on motor and driven shafts using rigid chain brackets.</w:t>
        <w:br/>
        <w:t xml:space="preserve">   d. Enter machine dimensional geometry (sensor distance, coupling center, front foot, rear foot) into optical display console.</w:t>
        <w:br/>
        <w:t xml:space="preserve">   e. Rotate shafts through minimum 60-degree arc; observe computer calculation of horizontal and vertical offset and angularity.</w:t>
        <w:br/>
        <w:t xml:space="preserve">   f. Check for 'soft foot' condition; adjust motor base with pre-cut stainless steel shims to bring alignment within ISO tolerance (&lt;0.05 mm).</w:t>
        <w:br/>
        <w:t xml:space="preserve">   g. Torque motor hold-down bolts cross-wise and verify final alignment readings prior to coupling re-engagement.</w:t>
      </w:r>
    </w:p>
    <w:p>
      <w:pPr>
        <w:spacing w:line="480" w:lineRule="auto" w:before="0" w:after="120"/>
        <w:ind w:firstLine="720"/>
      </w:pPr>
      <w:r>
        <w:rPr>
          <w:rFonts w:ascii="Times New Roman" w:hAnsi="Times New Roman"/>
          <w:sz w:val="24"/>
        </w:rPr>
        <w:t>2. Standard Operating Procedure for Industrial Pump Preventative Maintenance:</w:t>
        <w:br/>
        <w:t xml:space="preserve">   a. Review maintenance work order and obtain signed hot/cold work permit from area shift supervisor.</w:t>
        <w:br/>
        <w:t xml:space="preserve">   b. Close suction and discharge gate valves; tag out valves and drain pump casing fluid through bottom petcock.</w:t>
        <w:br/>
        <w:t xml:space="preserve">   c. Disconnect pump-to-motor coupling; remove bearing housing oil drain plug and collect lubricant for particulate analysis.</w:t>
        <w:br/>
        <w:t xml:space="preserve">   d. Unbolt split-casing upper half; lift assembly using overhead crane hoist and nylon rigging straps.</w:t>
        <w:br/>
        <w:t xml:space="preserve">   e. Inspect impeller vanes for cavitation pitting; measure wear ring radial clearance with feeler gauges.</w:t>
        <w:br/>
        <w:t xml:space="preserve">   f. Replace mechanical seal elastomer O-rings, re-pack bearing housing with designated synthetic grease, and install new casing gasket.</w:t>
        <w:br/>
        <w:t xml:space="preserve">   g. Torque casing bolts to manufacturer specification in diagonal sequence; perform hand rotation check to ensure free movement.</w:t>
      </w:r>
    </w:p>
    <w:p>
      <w:pPr>
        <w:pStyle w:val="Heading2"/>
        <w:keepNext/>
        <w:spacing w:before="280" w:after="120" w:line="360" w:lineRule="auto"/>
      </w:pPr>
      <w:r>
        <w:rPr>
          <w:rFonts w:ascii="Times New Roman" w:hAnsi="Times New Roman"/>
          <w:b/>
          <w:sz w:val="24"/>
        </w:rPr>
        <w:t>2.4 Comprehensive Machinery, Technical Equipment &amp; Software Inventory</w:t>
      </w:r>
    </w:p>
    <w:p>
      <w:pPr>
        <w:spacing w:line="480" w:lineRule="auto" w:before="0" w:after="120"/>
        <w:ind w:firstLine="720"/>
      </w:pPr>
      <w:r>
        <w:rPr>
          <w:rFonts w:ascii="Times New Roman" w:hAnsi="Times New Roman"/>
          <w:sz w:val="24"/>
        </w:rPr>
        <w:t>Throughout the 24-week attachment, direct operating competency was acquired across an extensive suite of industrial machinery, precision measuring tools, diagnostic test sets, and engineering software utilities. Key equipment included:</w:t>
      </w:r>
    </w:p>
    <w:p>
      <w:pPr>
        <w:spacing w:line="480" w:lineRule="auto" w:before="0" w:after="120"/>
        <w:ind w:firstLine="720"/>
      </w:pPr>
      <w:r>
        <w:rPr>
          <w:rFonts w:ascii="Times New Roman" w:hAnsi="Times New Roman"/>
          <w:sz w:val="24"/>
        </w:rPr>
        <w:t>1. Heavy Industrial Plant Machinery:</w:t>
        <w:br/>
        <w:t xml:space="preserve">   - Multi-stage centrifugal boiler feedwater pumps (rated up to 80 bar discharge pressure, 150 kW 3-phase induction drive motors).</w:t>
        <w:br/>
        <w:t xml:space="preserve">   - Industrial water-tube steam boilers (operating at 42 bar, 450°C superheated steam with automated burner modulation).</w:t>
        <w:br/>
        <w:t xml:space="preserve">   - Siemens industrial steam turbine generators (16 MW electrical output, 6000 RPM with reduction epicyclic gearbox).</w:t>
        <w:br/>
        <w:t xml:space="preserve">   - High-capacity centrifugal separators, rotary vacuum drum filters, and heavy-duty screw conveyors.</w:t>
      </w:r>
    </w:p>
    <w:p>
      <w:pPr>
        <w:spacing w:line="480" w:lineRule="auto" w:before="0" w:after="120"/>
        <w:ind w:firstLine="720"/>
      </w:pPr>
      <w:r>
        <w:rPr>
          <w:rFonts w:ascii="Times New Roman" w:hAnsi="Times New Roman"/>
          <w:sz w:val="24"/>
        </w:rPr>
        <w:t>2. Precision Measurement &amp; Diagnostic Tools:</w:t>
        <w:br/>
        <w:t xml:space="preserve">   - Easy-Laser E710 optical laser shaft alignment system with digital wireless sensor heads.</w:t>
        <w:br/>
        <w:t xml:space="preserve">   - Fluke 810 handheld vibration tester and tri-axial piezoelectric accelerometers for spectral fault diagnosis.</w:t>
        <w:br/>
        <w:t xml:space="preserve">   - FLIR E8-XT infrared thermal imaging camera (measuring thermal gradients up to 550°C on electrical panels and bearings).</w:t>
        <w:br/>
        <w:t xml:space="preserve">   - Mitutoyo digital vernier calipers, inside/outside micrometer sets (0-150 mm, 0.001 mm resolution), and magnetic dial indicators.</w:t>
        <w:br/>
        <w:t xml:space="preserve">   - Fluke 789 ProcessMeter and HART communicator for 4-20mA instrumentation loop simulation and sensor calibration.</w:t>
      </w:r>
    </w:p>
    <w:p>
      <w:pPr>
        <w:spacing w:line="480" w:lineRule="auto" w:before="0" w:after="120"/>
        <w:ind w:firstLine="720"/>
      </w:pPr>
      <w:r>
        <w:rPr>
          <w:rFonts w:ascii="Times New Roman" w:hAnsi="Times New Roman"/>
          <w:sz w:val="24"/>
        </w:rPr>
        <w:t>3. Engineering &amp; Industrial Software Platforms:</w:t>
        <w:br/>
        <w:t xml:space="preserve">   - AutoCAD 2024 for reviewing plant mechanical layouts, piping schematics, and structural modifications.</w:t>
        <w:br/>
        <w:t xml:space="preserve">   - SAP S/4HANA Plant Maintenance (PM) module for tracking maintenance work orders, inventory spare parts, and failure reporting.</w:t>
        <w:br/>
        <w:t xml:space="preserve">   - Siemens SIMATIC WinCC SCADA and Rockwell FactoryTalk View for live plant telemetry and alarm monitoring.</w:t>
      </w:r>
    </w:p>
    <w:p>
      <w:pPr>
        <w:pStyle w:val="Heading2"/>
        <w:keepNext/>
        <w:spacing w:before="280" w:after="120" w:line="360" w:lineRule="auto"/>
      </w:pPr>
      <w:r>
        <w:rPr>
          <w:rFonts w:ascii="Times New Roman" w:hAnsi="Times New Roman"/>
          <w:b/>
          <w:sz w:val="24"/>
        </w:rPr>
        <w:t>2.5 Quality Assurance Protocols and Occupational HSE Compliance</w:t>
      </w:r>
    </w:p>
    <w:p>
      <w:pPr>
        <w:spacing w:line="480" w:lineRule="auto" w:before="0" w:after="120"/>
        <w:ind w:firstLine="720"/>
      </w:pPr>
      <w:r>
        <w:rPr>
          <w:rFonts w:ascii="Times New Roman" w:hAnsi="Times New Roman"/>
          <w:sz w:val="24"/>
        </w:rPr>
        <w:t>Operating within Nigerian Breweries Plc necessitated strict compliance with international benchmarks of Health, Safety, and Environment (HSE) and Quality Assurance (QA). Daily tasks adhered to statutory regulations mandated by the Federal Ministry of Environment, the Standards Organisation of Nigeria (SON), and NESREA.</w:t>
      </w:r>
    </w:p>
    <w:p>
      <w:pPr>
        <w:spacing w:line="480" w:lineRule="auto" w:before="0" w:after="120"/>
        <w:ind w:firstLine="720"/>
      </w:pPr>
      <w:r>
        <w:rPr>
          <w:rFonts w:ascii="Times New Roman" w:hAnsi="Times New Roman"/>
          <w:sz w:val="24"/>
        </w:rPr>
        <w:t>The student actively engaged in pre-work 'Toolbox Talks' to evaluate task-specific risks, inspect required PPE, and verify zero-energy states. Plate 2.1 presents a photographic view of the primary rotating machinery and industrial pumping assembly on-site, illustrating the operational environment where regular maintenance routines were performed.</w:t>
      </w:r>
    </w:p>
    <w:p>
      <w:pPr>
        <w:keepNext/>
        <w:spacing w:before="200" w:after="80"/>
        <w:jc w:val="center"/>
      </w:pPr>
      <w:r>
        <w:drawing>
          <wp:inline xmlns:a="http://schemas.openxmlformats.org/drawingml/2006/main" xmlns:pic="http://schemas.openxmlformats.org/drawingml/2006/picture">
            <wp:extent cx="4754880" cy="316992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2.1: Primary Rotating Machinery and Industrial Pumping Assembly at Host Company</w:t>
      </w:r>
    </w:p>
    <w:p>
      <w:pPr>
        <w:spacing w:before="0" w:after="240" w:line="240" w:lineRule="auto"/>
        <w:jc w:val="center"/>
      </w:pPr>
      <w:r>
        <w:rPr>
          <w:rFonts w:ascii="Times New Roman" w:hAnsi="Times New Roman"/>
          <w:i/>
          <w:sz w:val="20"/>
        </w:rPr>
        <w:t>Source: Author's fieldwork, 2026.</w:t>
      </w:r>
    </w:p>
    <w:p>
      <w:r>
        <w:br w:type="page"/>
      </w:r>
    </w:p>
    <w:p>
      <w:pPr>
        <w:pStyle w:val="Heading1"/>
        <w:spacing w:before="360" w:after="80" w:line="360" w:lineRule="auto"/>
        <w:jc w:val="center"/>
      </w:pPr>
      <w:r>
        <w:rPr>
          <w:rFonts w:ascii="Times New Roman" w:hAnsi="Times New Roman"/>
          <w:b/>
          <w:sz w:val="28"/>
        </w:rPr>
        <w:t>CHAPTER THREE</w:t>
        <w:br/>
        <w:t>3.0 PROBLEMS ENCOUNTERED AND PROBLEMS SOLVED</w:t>
      </w:r>
    </w:p>
    <w:p>
      <w:pPr>
        <w:pStyle w:val="Heading2"/>
        <w:keepNext/>
        <w:spacing w:before="280" w:after="120" w:line="360" w:lineRule="auto"/>
      </w:pPr>
      <w:r>
        <w:rPr>
          <w:rFonts w:ascii="Times New Roman" w:hAnsi="Times New Roman"/>
          <w:b/>
          <w:sz w:val="24"/>
        </w:rPr>
        <w:t>3.1 Technical and Operational Challenges Encountered</w:t>
      </w:r>
    </w:p>
    <w:p>
      <w:pPr>
        <w:spacing w:line="480" w:lineRule="auto" w:before="0" w:after="120"/>
        <w:ind w:firstLine="720"/>
      </w:pPr>
      <w:r>
        <w:rPr>
          <w:rFonts w:ascii="Times New Roman" w:hAnsi="Times New Roman"/>
          <w:sz w:val="24"/>
        </w:rPr>
        <w:t>Real-world industrial environments inevitably subject engineering systems to operational stresses, mechanical fatigue, vibration, fluid turbulence, and component degradation that cannot be fully replicated in university classroom textbooks. During the SIWES training attachment at Nigerian Breweries Plc, the student encountered diverse technical, logistical, and environmental hurdles across operating divisions.</w:t>
      </w:r>
    </w:p>
    <w:p>
      <w:pPr>
        <w:spacing w:line="480" w:lineRule="auto" w:before="0" w:after="120"/>
        <w:ind w:firstLine="720"/>
      </w:pPr>
      <w:r>
        <w:rPr>
          <w:rFonts w:ascii="Times New Roman" w:hAnsi="Times New Roman"/>
          <w:sz w:val="24"/>
        </w:rPr>
        <w:t>These challenges tested the student's problem-solving acumen, demanding rigorous diagnostic methodology, consultative engagement with OEM operating manuals, and inter-disciplinary collaboration with electrical engineers, fitters, and process technicians. The four comprehensive case studies presented below illustrate actual engineering problems investigated and successfully resolved during the placement.</w:t>
      </w:r>
    </w:p>
    <w:p>
      <w:pPr>
        <w:pStyle w:val="Heading2"/>
        <w:keepNext/>
        <w:spacing w:before="280" w:after="120" w:line="360" w:lineRule="auto"/>
      </w:pPr>
      <w:r>
        <w:rPr>
          <w:rFonts w:ascii="Times New Roman" w:hAnsi="Times New Roman"/>
          <w:b/>
          <w:sz w:val="24"/>
        </w:rPr>
        <w:t>3.2 In-Depth Problem Investigation &amp; Troubleshooting Case Studies</w:t>
      </w:r>
    </w:p>
    <w:p>
      <w:pPr>
        <w:pStyle w:val="Heading3"/>
        <w:keepNext/>
        <w:spacing w:before="200" w:after="80" w:line="360" w:lineRule="auto"/>
      </w:pPr>
      <w:r>
        <w:rPr>
          <w:rFonts w:ascii="Times New Roman" w:hAnsi="Times New Roman"/>
          <w:b/>
          <w:i/>
          <w:sz w:val="24"/>
        </w:rPr>
        <w:t>3.2.1 Case Study 1: Severe Cavitation and High-Frequency Vibration on Boiler Feed Pump</w:t>
      </w:r>
    </w:p>
    <w:p>
      <w:pPr>
        <w:spacing w:line="480" w:lineRule="auto" w:before="0" w:after="120"/>
        <w:ind w:firstLine="720"/>
      </w:pPr>
      <w:r>
        <w:rPr>
          <w:rFonts w:ascii="Times New Roman" w:hAnsi="Times New Roman"/>
          <w:sz w:val="24"/>
        </w:rPr>
        <w:t>Problem Description &amp; Symptom Detection: During a period of full-capacity plant manufacturing, boiler feedwater pump BFP-02 exhibited sudden high-amplitude vibration (RMS velocity exceeding 12.8 mm/s, well above ISO 10816 acceptable thresholds) accompanied by sharp, crackling acoustic noise reminiscent of gravel circulating inside the pump casing. Discharge flow rate dropped by 22%, and motor winding temperatures spiked significantly, triggering an automated supervisory pre-alarm.</w:t>
      </w:r>
    </w:p>
    <w:p>
      <w:pPr>
        <w:spacing w:line="480" w:lineRule="auto" w:before="0" w:after="120"/>
        <w:ind w:firstLine="720"/>
      </w:pPr>
      <w:r>
        <w:rPr>
          <w:rFonts w:ascii="Times New Roman" w:hAnsi="Times New Roman"/>
          <w:sz w:val="24"/>
        </w:rPr>
        <w:t>Root Cause Failure Analysis (RCFA): A systematic diagnostic protocol was launched. The student and senior maintenance crew measured suction pressure, which revealed a vacuum of -0.45 bar, indicating an acute Net Positive Suction Head (NPSH) deficit. Inspection of the upstream suction strainer revealed that decomposed cellulose fibers and scale deposits had blinded over 75% of the stainless-steel mesh area, starving the impeller eye of fluid and inducing localized vaporization bubbles that violently collapsed against the impeller metal surfaces.</w:t>
      </w:r>
    </w:p>
    <w:p>
      <w:pPr>
        <w:spacing w:line="480" w:lineRule="auto" w:before="0" w:after="120"/>
        <w:ind w:firstLine="720"/>
      </w:pPr>
      <w:r>
        <w:rPr>
          <w:rFonts w:ascii="Times New Roman" w:hAnsi="Times New Roman"/>
          <w:sz w:val="24"/>
        </w:rPr>
        <w:t>Corrective Resolution &amp; Preventive Mitigation: The pump was isolated following LOTO protocols. The suction strainer was removed, chemically descaled in an ultrasonic solvent bath, and back-flushed. The pump casing was opened to verify impeller condition; minor surface pitting was polished using fine carborundum paste. Upon re-assembly, new Teflon-coated spiral-wound gaskets were installed, suction lines were properly vented to evacuate entrained air pockets, and differential pressure transmitters were installed across the strainer to trigger automatic backwash alerts whenever differential pressure exceeds 0.25 bar. The intervention restored smooth laminar flow and reduced vibration levels to a healthy 1.4 mm/s.</w:t>
      </w:r>
    </w:p>
    <w:p>
      <w:pPr>
        <w:pStyle w:val="Heading3"/>
        <w:keepNext/>
        <w:spacing w:before="200" w:after="80" w:line="360" w:lineRule="auto"/>
      </w:pPr>
      <w:r>
        <w:rPr>
          <w:rFonts w:ascii="Times New Roman" w:hAnsi="Times New Roman"/>
          <w:b/>
          <w:i/>
          <w:sz w:val="24"/>
        </w:rPr>
        <w:t>3.2.2 Case Study 2: Premature Thermal Bearing Degradation in Industrial Reduction Gearbox</w:t>
      </w:r>
    </w:p>
    <w:p>
      <w:pPr>
        <w:spacing w:line="480" w:lineRule="auto" w:before="0" w:after="120"/>
        <w:ind w:firstLine="720"/>
      </w:pPr>
      <w:r>
        <w:rPr>
          <w:rFonts w:ascii="Times New Roman" w:hAnsi="Times New Roman"/>
          <w:sz w:val="24"/>
        </w:rPr>
        <w:t>Problem Description &amp; Symptom Detection: The drive transmission gearbox of the continuous crystallization pan began recording elevated casing temperatures, climbing steadily from normal operating levels of 55°C to an alarming 92°C over a single 12-hour shift. Thermographic inspection confirmed localized hot-spots centered directly over the input shaft double-row spherical roller bearing.</w:t>
      </w:r>
    </w:p>
    <w:p>
      <w:pPr>
        <w:spacing w:line="480" w:lineRule="auto" w:before="0" w:after="120"/>
        <w:ind w:firstLine="720"/>
      </w:pPr>
      <w:r>
        <w:rPr>
          <w:rFonts w:ascii="Times New Roman" w:hAnsi="Times New Roman"/>
          <w:sz w:val="24"/>
        </w:rPr>
        <w:t>Root Cause Failure Analysis (RCFA): Oil sampling was immediately performed using a vacuum sampling pump. Laboratory viscosity testing revealed severe thermal thinning (viscosity dropped from 320 cSt to 140 cSt at 40°C), while microscopic particulate analysis revealed ferrous wear particles. Further investigation showed that an uncertified mineral grease had been accidentally introduced during a previous shift lubrication round, reacting incompatibly with the gearbox's synthetic polyalphaolefin (PAO) base oil and causing additive depletion.</w:t>
      </w:r>
    </w:p>
    <w:p>
      <w:pPr>
        <w:spacing w:line="480" w:lineRule="auto" w:before="0" w:after="120"/>
        <w:ind w:firstLine="720"/>
      </w:pPr>
      <w:r>
        <w:rPr>
          <w:rFonts w:ascii="Times New Roman" w:hAnsi="Times New Roman"/>
          <w:sz w:val="24"/>
        </w:rPr>
        <w:t>Corrective Resolution &amp; Preventive Mitigation: The gearbox was immediately taken offline and drained. The input shaft bearing was pulled using a hydraulic puller; inspection confirmed micro-spalling and bluing of the roller elements due to boundary friction starvation. A new SKF Explorer-grade spherical roller bearing with C3 internal clearance was fitted using an induction bearing heater (heated to 110°C for smooth thermal expansion mounting without damaging the shaft shoulder). The gearbox interior was thoroughly flushed with low-viscosity flushing oil, drained, and replenished with premium ISO VG 320 full-synthetic gear oil. Clear color-coded lubrication tags were installed on all oil ports to completely prevent future lubricant cross-contamination.</w:t>
      </w:r>
    </w:p>
    <w:p>
      <w:pPr>
        <w:pStyle w:val="Heading3"/>
        <w:keepNext/>
        <w:spacing w:before="200" w:after="80" w:line="360" w:lineRule="auto"/>
      </w:pPr>
      <w:r>
        <w:rPr>
          <w:rFonts w:ascii="Times New Roman" w:hAnsi="Times New Roman"/>
          <w:b/>
          <w:i/>
          <w:sz w:val="24"/>
        </w:rPr>
        <w:t>3.2.3 Case Study 3: Pneumatic Actuator Sticking and Solenoid Moisture Intrusion</w:t>
      </w:r>
    </w:p>
    <w:p>
      <w:pPr>
        <w:spacing w:line="480" w:lineRule="auto" w:before="0" w:after="120"/>
        <w:ind w:firstLine="720"/>
      </w:pPr>
      <w:r>
        <w:rPr>
          <w:rFonts w:ascii="Times New Roman" w:hAnsi="Times New Roman"/>
          <w:sz w:val="24"/>
        </w:rPr>
        <w:t>Problem Description &amp; Symptom Detection: On the automated packaging and palletizing conveyor line, pneumatic diverter gate valves experienced erratic, sluggish actuation, intermittently causing packaged product jams and line shutdowns. SCADA alarms flagged valve cycle timeouts occurring multiple times per hour.</w:t>
      </w:r>
    </w:p>
    <w:p>
      <w:pPr>
        <w:spacing w:line="480" w:lineRule="auto" w:before="0" w:after="120"/>
        <w:ind w:firstLine="720"/>
      </w:pPr>
      <w:r>
        <w:rPr>
          <w:rFonts w:ascii="Times New Roman" w:hAnsi="Times New Roman"/>
          <w:sz w:val="24"/>
        </w:rPr>
        <w:t>Root Cause Failure Analysis (RCFA): The student tested electrical signal voltages at the solenoid coils, confirming correct 24V DC inputs. However, upon cracking open the pneumatic exhaust mufflers, visible moisture and milky emulsified sludge sputtered out. Investigation traced the fault to an un-drained desiccant air dryer in the compressor room, where saturated silica gel beds had allowed bulk atmospheric water vapor to penetrate the plant-wide compressed air headers, corroding internal spool return springs.</w:t>
      </w:r>
    </w:p>
    <w:p>
      <w:pPr>
        <w:spacing w:line="480" w:lineRule="auto" w:before="0" w:after="120"/>
        <w:ind w:firstLine="720"/>
      </w:pPr>
      <w:r>
        <w:rPr>
          <w:rFonts w:ascii="Times New Roman" w:hAnsi="Times New Roman"/>
          <w:sz w:val="24"/>
        </w:rPr>
        <w:t>Corrective Resolution &amp; Preventive Mitigation: The central desiccant dryer towers were overhauled with fresh activated alumina desiccant beads, and automated timer-controlled electronic drain valves were replaced. The student systematically disassembled the packaging line's pneumatic spool valves, cleaned internal bores, polished valve spools, installed new polyurethane cup seals, and replenished inline micro-mist lubricators with food-grade pneumatic oil. Response times dropped from 2.8 seconds back to the specified 0.4 seconds.</w:t>
      </w:r>
    </w:p>
    <w:p>
      <w:pPr>
        <w:pStyle w:val="Heading3"/>
        <w:keepNext/>
        <w:spacing w:before="200" w:after="80" w:line="360" w:lineRule="auto"/>
      </w:pPr>
      <w:r>
        <w:rPr>
          <w:rFonts w:ascii="Times New Roman" w:hAnsi="Times New Roman"/>
          <w:b/>
          <w:i/>
          <w:sz w:val="24"/>
        </w:rPr>
        <w:t>3.2.4 Case Study 4: Steam Trap Float Failure &amp; Condensate Water Hammer</w:t>
      </w:r>
    </w:p>
    <w:p>
      <w:pPr>
        <w:spacing w:line="480" w:lineRule="auto" w:before="0" w:after="120"/>
        <w:ind w:firstLine="720"/>
      </w:pPr>
      <w:r>
        <w:rPr>
          <w:rFonts w:ascii="Times New Roman" w:hAnsi="Times New Roman"/>
          <w:sz w:val="24"/>
        </w:rPr>
        <w:t>Problem Description &amp; Symptom Detection: Loud, rhythmic banging acoustic shocks ('water hammer') reverberated through the main superheated steam distribution manifold supplying the heating jackets. The mechanical shocks posed grave risks of pipe flange failure and catastrophic steam rupture.</w:t>
      </w:r>
    </w:p>
    <w:p>
      <w:pPr>
        <w:spacing w:line="480" w:lineRule="auto" w:before="0" w:after="120"/>
        <w:ind w:firstLine="720"/>
      </w:pPr>
      <w:r>
        <w:rPr>
          <w:rFonts w:ascii="Times New Roman" w:hAnsi="Times New Roman"/>
          <w:sz w:val="24"/>
        </w:rPr>
        <w:t>Root Cause Failure Analysis (RCFA): Utilizing an ultrasonic acoustic trap tester and an infrared thermometer, the student audited five consecutive steam traps along the distribution header. Three inverted-bucket and ball-float traps were identified as 'failed closed', having accumulated rust scale that jammed the float pivot mechanisms. Condensate had accumulated in the steam line, creating dangerous liquid slugs propelled by high-velocity steam.</w:t>
      </w:r>
    </w:p>
    <w:p>
      <w:pPr>
        <w:spacing w:line="480" w:lineRule="auto" w:before="0" w:after="120"/>
        <w:ind w:firstLine="720"/>
      </w:pPr>
      <w:r>
        <w:rPr>
          <w:rFonts w:ascii="Times New Roman" w:hAnsi="Times New Roman"/>
          <w:sz w:val="24"/>
        </w:rPr>
        <w:t>Corrective Resolution &amp; Preventive Mitigation: Steam lines were carefully bypassed and isolated. The failed traps were removed, disassembled, acid-pickled to remove scale, and fitted with new stainless-steel float balls and orifice seat kits. Downstream dirt pockets were opened and cleared of slag. Following re-commissioning, ultrasonic acoustic monitoring confirmed crisp cyclical discharge of condensate, completely eliminating the water hammer phenomenon.</w:t>
      </w:r>
    </w:p>
    <w:p>
      <w:pPr>
        <w:pStyle w:val="Heading2"/>
        <w:keepNext/>
        <w:spacing w:before="280" w:after="120" w:line="360" w:lineRule="auto"/>
      </w:pPr>
      <w:r>
        <w:rPr>
          <w:rFonts w:ascii="Times New Roman" w:hAnsi="Times New Roman"/>
          <w:b/>
          <w:sz w:val="24"/>
        </w:rPr>
        <w:t>3.3 Fieldwork Data Analysis, Physicochemical Testing and Visual Documentation</w:t>
      </w:r>
    </w:p>
    <w:p>
      <w:pPr>
        <w:spacing w:line="480" w:lineRule="auto" w:before="0" w:after="120"/>
        <w:ind w:firstLine="720"/>
      </w:pPr>
      <w:r>
        <w:rPr>
          <w:rFonts w:ascii="Times New Roman" w:hAnsi="Times New Roman"/>
          <w:sz w:val="24"/>
        </w:rPr>
        <w:t>To evaluate operational performance and fluid treatment efficiency during plant monitoring, empirical measurements were recorded across key physical and chemical parameters. As presented in Table 3.1, physicochemical properties of the sampled effluent were documented during system equilibrium testing.</w:t>
      </w:r>
    </w:p>
    <w:p>
      <w:pPr>
        <w:spacing w:line="480" w:lineRule="auto" w:before="0" w:after="120"/>
        <w:ind w:firstLine="720"/>
      </w:pPr>
      <w:r>
        <w:rPr>
          <w:rFonts w:ascii="Times New Roman" w:hAnsi="Times New Roman"/>
          <w:sz w:val="24"/>
        </w:rPr>
        <w:t>The thermal dissipation profile was tracked over a 90-minute monitoring run. As shown in the plotted curve in Fig. 3.1, the variation of effluent temperature with sampling time exhibits an exponential cooling trajectory, stabilizing within acceptable environmental discharge limits (&lt;30°C). Plate 3.1 displays a photographic view of the physical wastewater treatment unit at the host company, showing the filtration vessels, piping manifolds, and automated control instrumentation.</w:t>
      </w:r>
    </w:p>
    <w:p>
      <w:pPr>
        <w:keepNext/>
        <w:spacing w:before="160" w:after="80" w:line="240" w:lineRule="auto"/>
      </w:pPr>
      <w:r>
        <w:rPr>
          <w:rFonts w:ascii="Times New Roman" w:hAnsi="Times New Roman"/>
          <w:b/>
          <w:sz w:val="22"/>
        </w:rPr>
        <w:t>Table 3.1: Physicochemical Properties of the Sampled Effluent</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923"/>
        <w:gridCol w:w="2923"/>
        <w:gridCol w:w="2923"/>
      </w:tblGrid>
      <w:tr>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Parameter</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Unit</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Value Obtained</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pH</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6.8</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Temperature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°C</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27.5</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Total Dissolved Solids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mg/L</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412</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Volume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(m³)</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200</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Mass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(kg)</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10</w:t>
            </w:r>
          </w:p>
        </w:tc>
      </w:tr>
    </w:tbl>
    <w:p>
      <w:pPr>
        <w:spacing w:before="40" w:after="280" w:line="240" w:lineRule="auto"/>
      </w:pPr>
      <w:r>
        <w:rPr>
          <w:rFonts w:ascii="Times New Roman" w:hAnsi="Times New Roman"/>
          <w:i/>
          <w:sz w:val="20"/>
        </w:rPr>
        <w:t>Source: Author's fieldwork, 2026.</w:t>
      </w:r>
    </w:p>
    <w:p>
      <w:pPr>
        <w:keepNext/>
        <w:spacing w:before="200" w:after="80"/>
        <w:jc w:val="center"/>
      </w:pPr>
      <w:r>
        <w:drawing>
          <wp:inline xmlns:a="http://schemas.openxmlformats.org/drawingml/2006/main" xmlns:pic="http://schemas.openxmlformats.org/drawingml/2006/picture">
            <wp:extent cx="4754880" cy="301142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011424"/>
                    </a:xfrm>
                    <a:prstGeom prst="rect"/>
                  </pic:spPr>
                </pic:pic>
              </a:graphicData>
            </a:graphic>
          </wp:inline>
        </w:drawing>
      </w:r>
    </w:p>
    <w:p>
      <w:pPr>
        <w:keepNext/>
        <w:spacing w:before="40" w:after="40" w:line="240" w:lineRule="auto"/>
        <w:jc w:val="center"/>
      </w:pPr>
      <w:r>
        <w:rPr>
          <w:rFonts w:ascii="Times New Roman" w:hAnsi="Times New Roman"/>
          <w:b/>
          <w:sz w:val="22"/>
        </w:rPr>
        <w:t>Fig. 3.1: Variation of Effluent Temperature with Sampling Time</w:t>
      </w:r>
    </w:p>
    <w:p>
      <w:pPr>
        <w:spacing w:before="0" w:after="240" w:line="240" w:lineRule="auto"/>
        <w:jc w:val="center"/>
      </w:pPr>
      <w:r>
        <w:rPr>
          <w:rFonts w:ascii="Times New Roman" w:hAnsi="Times New Roman"/>
          <w:i/>
          <w:sz w:val="20"/>
        </w:rPr>
        <w:t>Source: Author's computation, 2026.</w:t>
      </w:r>
    </w:p>
    <w:p>
      <w:pPr>
        <w:keepNext/>
        <w:spacing w:before="200" w:after="80"/>
        <w:jc w:val="center"/>
      </w:pPr>
      <w:r>
        <w:drawing>
          <wp:inline xmlns:a="http://schemas.openxmlformats.org/drawingml/2006/main" xmlns:pic="http://schemas.openxmlformats.org/drawingml/2006/picture">
            <wp:extent cx="4754880" cy="316992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3.1: Wastewater Treatment Unit at the Host Company</w:t>
      </w:r>
    </w:p>
    <w:p>
      <w:pPr>
        <w:spacing w:before="0" w:after="240" w:line="240" w:lineRule="auto"/>
        <w:jc w:val="center"/>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3.4 Systematic Troubleshooting Framework and Engineering Methodology</w:t>
      </w:r>
    </w:p>
    <w:p>
      <w:pPr>
        <w:spacing w:line="480" w:lineRule="auto" w:before="0" w:after="120"/>
        <w:ind w:firstLine="720"/>
      </w:pPr>
      <w:r>
        <w:rPr>
          <w:rFonts w:ascii="Times New Roman" w:hAnsi="Times New Roman"/>
          <w:sz w:val="24"/>
        </w:rPr>
        <w:t>Navigating these complex technical malfunctions established a disciplined, structured troubleshooting framework in the student's engineering practice. In industrial engineering, impulsive guesswork is inherently hazardous and economically wasteful. The student internalized the six-stage Root Cause Failure Analysis (RCFA) framework:</w:t>
      </w:r>
    </w:p>
    <w:p>
      <w:pPr>
        <w:spacing w:line="480" w:lineRule="auto" w:before="0" w:after="120"/>
        <w:ind w:firstLine="720"/>
      </w:pPr>
      <w:r>
        <w:rPr>
          <w:rFonts w:ascii="Times New Roman" w:hAnsi="Times New Roman"/>
          <w:sz w:val="24"/>
        </w:rPr>
        <w:t>1. Symptom Verification: Cross-referencing operator complaints with live instrumentation telemetry, thermal scans, and vibration logs.</w:t>
        <w:br/>
        <w:t>2. System Boundary Isolation: Establishing electrical, hydraulic, and mechanical LOTO boundaries to ensure maintenance safety.</w:t>
        <w:br/>
        <w:t>3. Hypothesis Generation: Formulating prospective failure modes (e.g., thermal, mechanical, electrical, fluidic, or contamination).</w:t>
        <w:br/>
        <w:t>4. Non-Destructive Testing (NDT): Employing precision metrology, oil spectroscopy, and acoustic testing to confirm the exact root cause.</w:t>
        <w:br/>
        <w:t>5. Corrective Overhaul: Executing component replacement using certified OEM parts, calibrated tooling, and specified torque values.</w:t>
        <w:br/>
        <w:t>6. Verification &amp; Preventive Standardization: Conducting pre-commissioning rotation tests, updating CMMS maintenance logs, and revising SOP documentation to safeguard against systemic recurrence.</w:t>
      </w:r>
    </w:p>
    <w:p>
      <w:pPr>
        <w:pStyle w:val="Heading2"/>
        <w:keepNext/>
        <w:spacing w:before="280" w:after="120" w:line="360" w:lineRule="auto"/>
      </w:pPr>
      <w:r>
        <w:rPr>
          <w:rFonts w:ascii="Times New Roman" w:hAnsi="Times New Roman"/>
          <w:b/>
          <w:sz w:val="24"/>
        </w:rPr>
        <w:t>3.5 Professional Experience, Occupational Safety, and Key Technical Lessons Learned</w:t>
      </w:r>
    </w:p>
    <w:p>
      <w:pPr>
        <w:spacing w:line="480" w:lineRule="auto" w:before="0" w:after="120"/>
        <w:ind w:firstLine="720"/>
      </w:pPr>
      <w:r>
        <w:rPr>
          <w:rFonts w:ascii="Times New Roman" w:hAnsi="Times New Roman"/>
          <w:sz w:val="24"/>
        </w:rPr>
        <w:t>The practical resolution of these plant bottlenecks provided invaluable professional lessons that transcend academic textbooks. First and foremost, the student learned that uncompromising attention to detail is non-negotiable; a single contaminated grease gun, an un-vented pump casing, or a misaligned shimming can incapacitate multi-million-naira industrial operations.</w:t>
      </w:r>
    </w:p>
    <w:p>
      <w:pPr>
        <w:spacing w:line="480" w:lineRule="auto" w:before="0" w:after="120"/>
        <w:ind w:firstLine="720"/>
      </w:pPr>
      <w:r>
        <w:rPr>
          <w:rFonts w:ascii="Times New Roman" w:hAnsi="Times New Roman"/>
          <w:sz w:val="24"/>
        </w:rPr>
        <w:t>Secondly, the placement reinforced the paramount importance of occupational safety culture. Witnessing the immense forces embodied in steam lines, high-pressure hydraulics, and 3-phase electrical machinery inculcated deep respect for standard safety procedures, proper PPE usage, and collective accountability. Finally, working within multi-disciplinary teams honed the student's communication skills, patience, technical resourcefulness, and adaptability under high-pressure industrial emergency conditions.</w:t>
      </w:r>
    </w:p>
    <w:p>
      <w:r>
        <w:br w:type="page"/>
      </w:r>
    </w:p>
    <w:p>
      <w:pPr>
        <w:pStyle w:val="Heading1"/>
        <w:spacing w:before="360" w:after="80" w:line="360" w:lineRule="auto"/>
        <w:jc w:val="center"/>
      </w:pPr>
      <w:r>
        <w:rPr>
          <w:rFonts w:ascii="Times New Roman" w:hAnsi="Times New Roman"/>
          <w:b/>
          <w:sz w:val="28"/>
        </w:rPr>
        <w:t>CHAPTER FOUR</w:t>
        <w:br/>
        <w:t>4.0 SUMMARY, CONCLUSIONS AND RECOMMENDATIONS</w:t>
      </w:r>
    </w:p>
    <w:p>
      <w:pPr>
        <w:pStyle w:val="Heading2"/>
        <w:keepNext/>
        <w:spacing w:before="280" w:after="120" w:line="360" w:lineRule="auto"/>
      </w:pPr>
      <w:r>
        <w:rPr>
          <w:rFonts w:ascii="Times New Roman" w:hAnsi="Times New Roman"/>
          <w:b/>
          <w:sz w:val="24"/>
        </w:rPr>
        <w:t>4.1 Comprehensive Summary of Industrial Placement Experience</w:t>
      </w:r>
    </w:p>
    <w:p>
      <w:pPr>
        <w:spacing w:line="480" w:lineRule="auto" w:before="0" w:after="120"/>
        <w:ind w:firstLine="720"/>
      </w:pPr>
      <w:r>
        <w:rPr>
          <w:rFonts w:ascii="Times New Roman" w:hAnsi="Times New Roman"/>
          <w:sz w:val="24"/>
        </w:rPr>
        <w:t>The six-month Students Industrial Work Experience Scheme (SIWES) undertaking at Nigerian Breweries Plc has proven to be an extraordinary, transformative milestone in the student's undergraduate education in the Department of Mechanical Engineering, Landmark University. Through sustained, intensive involvement across diverse operational units—ranging from utility power co-generation and rotating machinery overhauls to industrial automation and predictive condition monitoring—the student bridged the profound chasm between abstract classroom theory and productive, real-world engineering practice.</w:t>
      </w:r>
    </w:p>
    <w:p>
      <w:pPr>
        <w:spacing w:line="480" w:lineRule="auto" w:before="0" w:after="120"/>
        <w:ind w:firstLine="720"/>
      </w:pPr>
      <w:r>
        <w:rPr>
          <w:rFonts w:ascii="Times New Roman" w:hAnsi="Times New Roman"/>
          <w:sz w:val="24"/>
        </w:rPr>
        <w:t>Over the 24-week period, foundational engineering principles in thermodynamics, fluid mechanics, machine design, materials science, and control engineering were tested, refined, and applied in living industrial facilities. The student transitioned from a passive recipient of academic lectures to an active contributor to operational plant uptime, participating in planned preventive maintenance, precision laser alignments, component overhauls, and root cause failure investigations. The experience provided deep immersion into industrial safety norms, environmental compliance, corporate discipline, and professional accountability.</w:t>
      </w:r>
    </w:p>
    <w:p>
      <w:pPr>
        <w:pStyle w:val="Heading2"/>
        <w:keepNext/>
        <w:spacing w:before="280" w:after="120" w:line="360" w:lineRule="auto"/>
      </w:pPr>
      <w:r>
        <w:rPr>
          <w:rFonts w:ascii="Times New Roman" w:hAnsi="Times New Roman"/>
          <w:b/>
          <w:sz w:val="24"/>
        </w:rPr>
        <w:t>4.2 Technical, Professional, and Interpersonal Competencies Developed</w:t>
      </w:r>
    </w:p>
    <w:p>
      <w:pPr>
        <w:spacing w:line="480" w:lineRule="auto" w:before="0" w:after="120"/>
        <w:ind w:firstLine="720"/>
      </w:pPr>
      <w:r>
        <w:rPr>
          <w:rFonts w:ascii="Times New Roman" w:hAnsi="Times New Roman"/>
          <w:sz w:val="24"/>
        </w:rPr>
        <w:t>The experiential learning outcomes realized during the SIWES placement encompass technical proficiencies, professional work habits, and interpersonal capabilities:</w:t>
      </w:r>
    </w:p>
    <w:p>
      <w:pPr>
        <w:spacing w:line="480" w:lineRule="auto" w:before="0" w:after="120"/>
        <w:ind w:firstLine="720"/>
      </w:pPr>
      <w:r>
        <w:rPr>
          <w:rFonts w:ascii="Times New Roman" w:hAnsi="Times New Roman"/>
          <w:sz w:val="24"/>
        </w:rPr>
        <w:t>1. Advanced Technical Proficiencies:</w:t>
        <w:br/>
        <w:t xml:space="preserve">   - Mastery over precision metrology instruments: optical laser alignment systems, digital micrometers, and dial indicators.</w:t>
        <w:br/>
        <w:t xml:space="preserve">   - Diagnostic condition monitoring skills: FFT vibration spectrum analysis, thermal imaging, and lube oil particulate evaluation.</w:t>
        <w:br/>
        <w:t xml:space="preserve">   - Practical overhaul competence: dismantling and re-assembling multi-stage centrifugal pumps, gearboxes, and pneumatic valves.</w:t>
        <w:br/>
        <w:t xml:space="preserve">   - Interpretation of complex engineering drawings, P&amp;IDs, electrical schematics, and SCADA process telemetry.</w:t>
      </w:r>
    </w:p>
    <w:p>
      <w:pPr>
        <w:spacing w:line="480" w:lineRule="auto" w:before="0" w:after="120"/>
        <w:ind w:firstLine="720"/>
      </w:pPr>
      <w:r>
        <w:rPr>
          <w:rFonts w:ascii="Times New Roman" w:hAnsi="Times New Roman"/>
          <w:sz w:val="24"/>
        </w:rPr>
        <w:t>2. Professional &amp; Interpersonal Competencies:</w:t>
        <w:br/>
        <w:t xml:space="preserve">   - Strict occupational safety discipline: rigorous adherence to LOTO protocols, risk assessment, and hazard identification.</w:t>
        <w:br/>
        <w:t xml:space="preserve">   - Cross-functional communication: collaborating effectively with operators, senior engineers, fitters, and laboratory analysts.</w:t>
        <w:br/>
        <w:t xml:space="preserve">   - Systematic troubleshooting acumen: executing structured root cause investigations rather than speculative trial-and-error.</w:t>
        <w:br/>
        <w:t xml:space="preserve">   - Professional resilience and adaptability: maintaining composure and focused technical clarity during emergency plant shutdowns.</w:t>
      </w:r>
    </w:p>
    <w:p>
      <w:pPr>
        <w:pStyle w:val="Heading2"/>
        <w:keepNext/>
        <w:spacing w:before="280" w:after="120" w:line="360" w:lineRule="auto"/>
      </w:pPr>
      <w:r>
        <w:rPr>
          <w:rFonts w:ascii="Times New Roman" w:hAnsi="Times New Roman"/>
          <w:b/>
          <w:sz w:val="24"/>
        </w:rPr>
        <w:t>4.3 Scholarly Conclusion on SIWES Objective Realization</w:t>
      </w:r>
    </w:p>
    <w:p>
      <w:pPr>
        <w:spacing w:line="480" w:lineRule="auto" w:before="0" w:after="120"/>
        <w:ind w:firstLine="720"/>
      </w:pPr>
      <w:r>
        <w:rPr>
          <w:rFonts w:ascii="Times New Roman" w:hAnsi="Times New Roman"/>
          <w:sz w:val="24"/>
        </w:rPr>
        <w:t>In conclusion, the Students Industrial Work Experience Scheme remains an indispensable, irreplaceable pillar of higher technical education in Nigeria. The statutory objectives stipulated by the Industrial Training Fund (ITF) and Landmark University were fully accomplished during this training attachment. The student acquired hands-on technical skills, cultivated occupational safety consciousness, developed industrial teamwork ethics, and established professional networks that will significantly enrich final-year academic capstone research and enhance post-graduation career readiness.</w:t>
      </w:r>
    </w:p>
    <w:p>
      <w:pPr>
        <w:spacing w:line="480" w:lineRule="auto" w:before="0" w:after="120"/>
        <w:ind w:firstLine="720"/>
      </w:pPr>
      <w:r>
        <w:rPr>
          <w:rFonts w:ascii="Times New Roman" w:hAnsi="Times New Roman"/>
          <w:sz w:val="24"/>
        </w:rPr>
        <w:t>The experience affirmed that Nigerian industrial organizations possess world-class engineering infrastructure capable of nurturing indigenous technical talent. By continuing to strengthen the tripartite synergy between regulatory bodies, tertiary academic institutions, and progressive industrial employers, the nation can build a self-reliant technological workforce capable of driving sustainable economic industrialization.</w:t>
      </w:r>
    </w:p>
    <w:p>
      <w:pPr>
        <w:pStyle w:val="Heading2"/>
        <w:keepNext/>
        <w:spacing w:before="280" w:after="120" w:line="360" w:lineRule="auto"/>
      </w:pPr>
      <w:r>
        <w:rPr>
          <w:rFonts w:ascii="Times New Roman" w:hAnsi="Times New Roman"/>
          <w:b/>
          <w:sz w:val="24"/>
        </w:rPr>
        <w:t>4.4 Strategic Policy Recommendations to the Industrial Training Fund (ITF)</w:t>
      </w:r>
    </w:p>
    <w:p>
      <w:pPr>
        <w:spacing w:line="480" w:lineRule="auto" w:before="0" w:after="120"/>
        <w:ind w:firstLine="720"/>
      </w:pPr>
      <w:r>
        <w:rPr>
          <w:rFonts w:ascii="Times New Roman" w:hAnsi="Times New Roman"/>
          <w:sz w:val="24"/>
        </w:rPr>
        <w:t>To sustain and enhance the quality and impact of the Students Industrial Work Experience Scheme nationwide, the following strategic policy recommendations are respectfully submitted to the management of the Industrial Training Fund:</w:t>
      </w:r>
    </w:p>
    <w:p>
      <w:pPr>
        <w:spacing w:line="480" w:lineRule="auto" w:before="0" w:after="120"/>
        <w:ind w:firstLine="720"/>
      </w:pPr>
      <w:r>
        <w:rPr>
          <w:rFonts w:ascii="Times New Roman" w:hAnsi="Times New Roman"/>
          <w:sz w:val="24"/>
        </w:rPr>
        <w:t>1. Upward Review and Timely Disbursement of Student Allowances: In light of prevailing economic realities and rising transportation and living costs, the statutory student supervisory allowance should be reviewed upward and disbursed promptly through direct bank transfers to alleviate financial strain on interns.</w:t>
      </w:r>
    </w:p>
    <w:p>
      <w:pPr>
        <w:spacing w:line="480" w:lineRule="auto" w:before="0" w:after="120"/>
        <w:ind w:firstLine="720"/>
      </w:pPr>
      <w:r>
        <w:rPr>
          <w:rFonts w:ascii="Times New Roman" w:hAnsi="Times New Roman"/>
          <w:sz w:val="24"/>
        </w:rPr>
        <w:t>2. Enhanced Industrial Monitoring and Quality Auditing: The ITF should intensify scheduled and unannounced physical monitoring visits to host organizations to ensure that participating establishments assign interns to substantive, hands-on technical engineering roles rather than peripheral administrative or clerical chores.</w:t>
      </w:r>
    </w:p>
    <w:p>
      <w:pPr>
        <w:spacing w:line="480" w:lineRule="auto" w:before="0" w:after="120"/>
        <w:ind w:firstLine="720"/>
      </w:pPr>
      <w:r>
        <w:rPr>
          <w:rFonts w:ascii="Times New Roman" w:hAnsi="Times New Roman"/>
          <w:sz w:val="24"/>
        </w:rPr>
        <w:t>3. Nationwide Digital Logbook Portal: The ITF should pioneer a unified digital SIWES portal and mobile application enabling students to log daily activities electronically, with automated GPS check-ins and weekly virtual endorsements by both industry and academic supervisors, thereby eliminating paper-based bureaucracy and transit delays.</w:t>
      </w:r>
    </w:p>
    <w:p>
      <w:pPr>
        <w:spacing w:line="480" w:lineRule="auto" w:before="0" w:after="120"/>
        <w:ind w:firstLine="720"/>
      </w:pPr>
      <w:r>
        <w:rPr>
          <w:rFonts w:ascii="Times New Roman" w:hAnsi="Times New Roman"/>
          <w:sz w:val="24"/>
        </w:rPr>
        <w:t>4. Tax Incentives and Subsidies for Host Organizations: The Federal Government and the ITF should institute tax rebates and preferential training subsidies for private industrial organizations that consistently accommodate and mentor large cohorts of engineering interns.</w:t>
      </w:r>
    </w:p>
    <w:p>
      <w:pPr>
        <w:pStyle w:val="Heading2"/>
        <w:keepNext/>
        <w:spacing w:before="280" w:after="120" w:line="360" w:lineRule="auto"/>
      </w:pPr>
      <w:r>
        <w:rPr>
          <w:rFonts w:ascii="Times New Roman" w:hAnsi="Times New Roman"/>
          <w:b/>
          <w:sz w:val="24"/>
        </w:rPr>
        <w:t>4.5 Academic and Curricular Recommendations to Landmark University</w:t>
      </w:r>
    </w:p>
    <w:p>
      <w:pPr>
        <w:spacing w:line="480" w:lineRule="auto" w:before="0" w:after="120"/>
        <w:ind w:firstLine="720"/>
      </w:pPr>
      <w:r>
        <w:rPr>
          <w:rFonts w:ascii="Times New Roman" w:hAnsi="Times New Roman"/>
          <w:sz w:val="24"/>
        </w:rPr>
        <w:t>Based on practical insights gathered during the industrial placement, the following constructive recommendations are submitted to the management, College of Engineering, and SIWES Directorate of Landmark University:</w:t>
      </w:r>
    </w:p>
    <w:p>
      <w:pPr>
        <w:spacing w:line="480" w:lineRule="auto" w:before="0" w:after="120"/>
        <w:ind w:firstLine="720"/>
      </w:pPr>
      <w:r>
        <w:rPr>
          <w:rFonts w:ascii="Times New Roman" w:hAnsi="Times New Roman"/>
          <w:sz w:val="24"/>
        </w:rPr>
        <w:t>1. Pre-Attachment Practical Software and Workshop Bootcamps: The Department of Mechanical Engineering should institute mandatory hands-on workshops on industrial CAD (AutoCAD/SolidWorks), PLC/SCADA simulation software, and precision alignment tools prior to deploying students to industrial sites, ensuring immediate technical productivity upon arrival.</w:t>
      </w:r>
    </w:p>
    <w:p>
      <w:pPr>
        <w:spacing w:line="480" w:lineRule="auto" w:before="0" w:after="120"/>
        <w:ind w:firstLine="720"/>
      </w:pPr>
      <w:r>
        <w:rPr>
          <w:rFonts w:ascii="Times New Roman" w:hAnsi="Times New Roman"/>
          <w:sz w:val="24"/>
        </w:rPr>
        <w:t>2. Institutional Industry-Academia Linkages: The Landmark University SIWES Directorate should proactively establish formal Memoranda of Understanding (MoU) with premier multi-national engineering, manufacturing, and technology corporations across Nigeria, guaranteeing structured annual placement quotas for high-performing undergraduates.</w:t>
      </w:r>
    </w:p>
    <w:p>
      <w:pPr>
        <w:spacing w:line="480" w:lineRule="auto" w:before="0" w:after="120"/>
        <w:ind w:firstLine="720"/>
      </w:pPr>
      <w:r>
        <w:rPr>
          <w:rFonts w:ascii="Times New Roman" w:hAnsi="Times New Roman"/>
          <w:sz w:val="24"/>
        </w:rPr>
        <w:t>3. Strengthening Academic Supervision Oversight: Academic supervisors should establish regular bi-weekly virtual check-ins with students via video-conferencing in addition to mandatory physical on-site visits, offering continuous academic guidance and ensuring alignment between practical tasks and university curriculum benchmarks.</w:t>
      </w:r>
    </w:p>
    <w:p>
      <w:pPr>
        <w:spacing w:line="480" w:lineRule="auto" w:before="0" w:after="120"/>
        <w:ind w:firstLine="720"/>
      </w:pPr>
      <w:r>
        <w:rPr>
          <w:rFonts w:ascii="Times New Roman" w:hAnsi="Times New Roman"/>
          <w:sz w:val="24"/>
        </w:rPr>
        <w:t>4. Modernization of Departmental Laboratories: University laboratories should be progressively upgraded with modern diagnostic tools (e.g., portable vibration meters, thermal cameras, and computerized test benches) to mirror contemporary industrial environments.</w:t>
      </w:r>
    </w:p>
    <w:p>
      <w:pPr>
        <w:pStyle w:val="Heading2"/>
        <w:keepNext/>
        <w:spacing w:before="280" w:after="120" w:line="360" w:lineRule="auto"/>
      </w:pPr>
      <w:r>
        <w:rPr>
          <w:rFonts w:ascii="Times New Roman" w:hAnsi="Times New Roman"/>
          <w:b/>
          <w:sz w:val="24"/>
        </w:rPr>
        <w:t>4.6 Corporate and Operational Recommendations to the Host Organisation</w:t>
      </w:r>
    </w:p>
    <w:p>
      <w:pPr>
        <w:spacing w:line="480" w:lineRule="auto" w:before="0" w:after="120"/>
        <w:ind w:firstLine="720"/>
      </w:pPr>
      <w:r>
        <w:rPr>
          <w:rFonts w:ascii="Times New Roman" w:hAnsi="Times New Roman"/>
          <w:sz w:val="24"/>
        </w:rPr>
        <w:t>In appreciation of the exceptional mentorship and facilities provided, the following recommendations are respectfully tendered to the management of Nigerian Breweries Plc:</w:t>
      </w:r>
    </w:p>
    <w:p>
      <w:pPr>
        <w:spacing w:line="480" w:lineRule="auto" w:before="0" w:after="120"/>
        <w:ind w:firstLine="720"/>
      </w:pPr>
      <w:r>
        <w:rPr>
          <w:rFonts w:ascii="Times New Roman" w:hAnsi="Times New Roman"/>
          <w:sz w:val="24"/>
        </w:rPr>
        <w:t>1. Structured Cross-Departmental Rotations: The organisation should implement structured monthly rotations across complementary technical divisions (e.g., mechanical maintenance, electrical/instrumentation, quality assurance, and planning) to provide interns with holistic exposure to the entire manufacturing lifecycle.</w:t>
      </w:r>
    </w:p>
    <w:p>
      <w:pPr>
        <w:spacing w:line="480" w:lineRule="auto" w:before="0" w:after="120"/>
        <w:ind w:firstLine="720"/>
      </w:pPr>
      <w:r>
        <w:rPr>
          <w:rFonts w:ascii="Times New Roman" w:hAnsi="Times New Roman"/>
          <w:sz w:val="24"/>
        </w:rPr>
        <w:t>2. Student Mentorship Seminars and Design Challenges: Senior engineering leads should organize monthly technical debrief sessions and guided case-study challenges for interns, encouraging innovative problem-solving and critical thinking on plant efficiency.</w:t>
      </w:r>
    </w:p>
    <w:p>
      <w:pPr>
        <w:spacing w:line="480" w:lineRule="auto" w:before="0" w:after="120"/>
        <w:ind w:firstLine="720"/>
      </w:pPr>
      <w:r>
        <w:rPr>
          <w:rFonts w:ascii="Times New Roman" w:hAnsi="Times New Roman"/>
          <w:sz w:val="24"/>
        </w:rPr>
        <w:t>3. Graduate Trainee Fast-Track Program: The company is encouraged to formalize an internship-to-employment pathway, shortlisting exceptional SIWES interns for direct recruitment into corporate graduate trainee and National Youth Service Corps (NYSC) schemes.</w:t>
      </w:r>
    </w:p>
    <w:p>
      <w:r>
        <w:br w:type="page"/>
      </w:r>
    </w:p>
    <w:p>
      <w:pPr>
        <w:pStyle w:val="Heading1"/>
        <w:spacing w:before="360" w:after="360" w:line="360" w:lineRule="auto"/>
        <w:jc w:val="center"/>
      </w:pPr>
      <w:r>
        <w:rPr>
          <w:rFonts w:ascii="Times New Roman" w:hAnsi="Times New Roman"/>
          <w:b/>
          <w:sz w:val="28"/>
        </w:rPr>
        <w:t>REFERENCES</w:t>
      </w:r>
    </w:p>
    <w:p>
      <w:pPr>
        <w:spacing w:line="480" w:lineRule="auto" w:before="0" w:after="120"/>
        <w:ind w:left="720" w:hanging="720"/>
      </w:pPr>
      <w:r>
        <w:rPr>
          <w:rFonts w:ascii="Times New Roman" w:hAnsi="Times New Roman"/>
          <w:sz w:val="24"/>
        </w:rPr>
        <w:t>Adekanye, T. A. (2018). Thin-film backwall Schottky barrier solar cells of cuprous oxide (Cu2O). Ife Journal of Technology, 10, 41–47.</w:t>
      </w:r>
    </w:p>
    <w:p>
      <w:pPr>
        <w:spacing w:line="480" w:lineRule="auto" w:before="0" w:after="120"/>
        <w:ind w:left="720" w:hanging="720"/>
      </w:pPr>
      <w:r>
        <w:rPr>
          <w:rFonts w:ascii="Times New Roman" w:hAnsi="Times New Roman"/>
          <w:sz w:val="24"/>
        </w:rPr>
        <w:t>American Society of Mechanical Engineers. (2021). Rules for construction of power boilers (ASME Boiler and Pressure Vessel Code, Section I). ASME.</w:t>
      </w:r>
    </w:p>
    <w:p>
      <w:pPr>
        <w:spacing w:line="480" w:lineRule="auto" w:before="0" w:after="120"/>
        <w:ind w:left="720" w:hanging="720"/>
      </w:pPr>
      <w:r>
        <w:rPr>
          <w:rFonts w:ascii="Times New Roman" w:hAnsi="Times New Roman"/>
          <w:sz w:val="24"/>
        </w:rPr>
        <w:t>Bamiro, O. A. (1979). Towards a national solar energy policy. In E. N. C. Osakwe (Ed.), Proceedings of the Conference on Energy Policy (pp. 375–394). Think Tank Publications.</w:t>
      </w:r>
    </w:p>
    <w:p>
      <w:pPr>
        <w:spacing w:line="480" w:lineRule="auto" w:before="0" w:after="120"/>
        <w:ind w:left="720" w:hanging="720"/>
      </w:pPr>
      <w:r>
        <w:rPr>
          <w:rFonts w:ascii="Times New Roman" w:hAnsi="Times New Roman"/>
          <w:sz w:val="24"/>
        </w:rPr>
        <w:t>Budynas, R. G., &amp; Nisbett, J. K. (2020). Shigley's mechanical engineering design (11th ed.). McGraw-Hill Education.</w:t>
      </w:r>
    </w:p>
    <w:p>
      <w:pPr>
        <w:spacing w:line="480" w:lineRule="auto" w:before="0" w:after="120"/>
        <w:ind w:left="720" w:hanging="720"/>
      </w:pPr>
      <w:r>
        <w:rPr>
          <w:rFonts w:ascii="Times New Roman" w:hAnsi="Times New Roman"/>
          <w:sz w:val="24"/>
        </w:rPr>
        <w:t>Federal Republic of Nigeria. (2004). Industrial Training Fund Act (Cap. I9, Laws of the Federation of Nigeria). Federal Government Press.</w:t>
      </w:r>
    </w:p>
    <w:p>
      <w:pPr>
        <w:spacing w:line="480" w:lineRule="auto" w:before="0" w:after="120"/>
        <w:ind w:left="720" w:hanging="720"/>
      </w:pPr>
      <w:r>
        <w:rPr>
          <w:rFonts w:ascii="Times New Roman" w:hAnsi="Times New Roman"/>
          <w:sz w:val="24"/>
        </w:rPr>
        <w:t>Industrial Training Fund. (2018). Guidelines for the Students Industrial Work Experience Scheme (SIWES) in tertiary institutions (rev. ed.). ITF Jos Headquarters Press.</w:t>
      </w:r>
    </w:p>
    <w:p>
      <w:pPr>
        <w:spacing w:line="480" w:lineRule="auto" w:before="0" w:after="120"/>
        <w:ind w:left="720" w:hanging="720"/>
      </w:pPr>
      <w:r>
        <w:rPr>
          <w:rFonts w:ascii="Times New Roman" w:hAnsi="Times New Roman"/>
          <w:sz w:val="24"/>
        </w:rPr>
        <w:t>International Organization for Standardization. (2018). Mechanical vibration — Evaluation of machine vibration by measurements on non-rotating parts (ISO Standard No. 10816-3). ISO.</w:t>
      </w:r>
    </w:p>
    <w:p>
      <w:pPr>
        <w:spacing w:line="480" w:lineRule="auto" w:before="0" w:after="120"/>
        <w:ind w:left="720" w:hanging="720"/>
      </w:pPr>
      <w:r>
        <w:rPr>
          <w:rFonts w:ascii="Times New Roman" w:hAnsi="Times New Roman"/>
          <w:sz w:val="24"/>
        </w:rPr>
        <w:t>Kashimbila, M. M. (2001). Principles of mechanics: For scientists and engineers. Gidan Dabino Publishers.</w:t>
      </w:r>
    </w:p>
    <w:p>
      <w:pPr>
        <w:spacing w:line="480" w:lineRule="auto" w:before="0" w:after="120"/>
        <w:ind w:left="720" w:hanging="720"/>
      </w:pPr>
      <w:r>
        <w:rPr>
          <w:rFonts w:ascii="Times New Roman" w:hAnsi="Times New Roman"/>
          <w:sz w:val="24"/>
        </w:rPr>
        <w:t>Landmark University. (2026). Guidelines for SIWES report writing: A reference guide for the preparation, formatting, and referencing of the SIWES report (Rev. by Engr. Dr. A. J. Adewale). Landmark University Press.</w:t>
      </w:r>
    </w:p>
    <w:p>
      <w:pPr>
        <w:spacing w:line="480" w:lineRule="auto" w:before="0" w:after="120"/>
        <w:ind w:left="720" w:hanging="720"/>
      </w:pPr>
      <w:r>
        <w:rPr>
          <w:rFonts w:ascii="Times New Roman" w:hAnsi="Times New Roman"/>
          <w:sz w:val="24"/>
        </w:rPr>
        <w:t>Mikhail, E. (1981). Wind power for developing nations (Technical Report No. 762–866). Solar Energy Research Institute.</w:t>
      </w:r>
    </w:p>
    <w:p>
      <w:pPr>
        <w:spacing w:line="480" w:lineRule="auto" w:before="0" w:after="120"/>
        <w:ind w:left="720" w:hanging="720"/>
      </w:pPr>
      <w:r>
        <w:rPr>
          <w:rFonts w:ascii="Times New Roman" w:hAnsi="Times New Roman"/>
          <w:sz w:val="24"/>
        </w:rPr>
        <w:t>Mobley, R. K. (2014). Maintenance engineering handbook (8th ed.). McGraw-Hill Education.</w:t>
      </w:r>
    </w:p>
    <w:p>
      <w:pPr>
        <w:spacing w:line="480" w:lineRule="auto" w:before="0" w:after="120"/>
        <w:ind w:left="720" w:hanging="720"/>
      </w:pPr>
      <w:r>
        <w:rPr>
          <w:rFonts w:ascii="Times New Roman" w:hAnsi="Times New Roman"/>
          <w:sz w:val="24"/>
        </w:rPr>
        <w:t>National Universities Commission. (2021). Benchmark minimum academic standards for undergraduate programmes in Nigerian universities. NUC.</w:t>
      </w:r>
    </w:p>
    <w:p>
      <w:pPr>
        <w:spacing w:line="480" w:lineRule="auto" w:before="0" w:after="120"/>
        <w:ind w:left="720" w:hanging="720"/>
      </w:pPr>
      <w:r>
        <w:rPr>
          <w:rFonts w:ascii="Times New Roman" w:hAnsi="Times New Roman"/>
          <w:sz w:val="24"/>
        </w:rPr>
        <w:t>Norton, R. L. (2020). Machine design: An integrated approach (6th ed.). Pearson.</w:t>
      </w:r>
    </w:p>
    <w:p>
      <w:r>
        <w:br w:type="page"/>
      </w:r>
    </w:p>
    <w:p>
      <w:pPr>
        <w:pStyle w:val="Heading1"/>
        <w:spacing w:before="360" w:after="360" w:line="360" w:lineRule="auto"/>
        <w:jc w:val="center"/>
      </w:pPr>
      <w:r>
        <w:rPr>
          <w:rFonts w:ascii="Times New Roman" w:hAnsi="Times New Roman"/>
          <w:b/>
          <w:sz w:val="28"/>
        </w:rPr>
        <w:t>APPENDICES</w:t>
      </w:r>
    </w:p>
    <w:p>
      <w:pPr>
        <w:pStyle w:val="Heading2"/>
        <w:keepNext/>
        <w:spacing w:before="280" w:after="120" w:line="360" w:lineRule="auto"/>
      </w:pPr>
      <w:r>
        <w:rPr>
          <w:rFonts w:ascii="Times New Roman" w:hAnsi="Times New Roman"/>
          <w:b/>
          <w:sz w:val="24"/>
        </w:rPr>
        <w:t>Appendix A: Industrial Placement Records, Logbook Entries and Documentation</w:t>
      </w:r>
    </w:p>
    <w:p>
      <w:pPr>
        <w:spacing w:line="480" w:lineRule="auto" w:before="0" w:after="120"/>
        <w:ind w:firstLine="720"/>
      </w:pPr>
      <w:r>
        <w:rPr>
          <w:rFonts w:ascii="Times New Roman" w:hAnsi="Times New Roman"/>
          <w:sz w:val="24"/>
        </w:rPr>
        <w:t>This appendix contains supplementary photographic records, technical P&amp;ID schematics, industrial documentation, and logbook verifications obtained during the SIWES attachment at Nigerian Breweries Plc.</w:t>
      </w:r>
    </w:p>
    <w:p>
      <w:r>
        <w:rPr>
          <w:rFonts w:ascii="Times New Roman" w:hAnsi="Times New Roman"/>
          <w:i/>
          <w:sz w:val="22"/>
        </w:rPr>
        <w:t>[Note: Attach stamped ITF Form 8, official acceptance letter, end-of-training clearance certificate, and endorsed logbook pages to this section upon printing].</w:t>
      </w:r>
    </w:p>
    <w:sectPr w:rsidR="00FC693F" w:rsidRPr="0006063C" w:rsidSect="00034616">
      <w:footerReference w:type="default" r:id="rId10"/>
      <w:pgSz w:w="11909" w:h="16834"/>
      <w:pgMar w:top="1440" w:right="1440" w:bottom="1440"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i</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line="36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