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clear" w:pos="851"/>
          <w:tab w:val="left" w:pos="1485" w:leader="none"/>
        </w:tabs>
        <w:rPr>
          <w:rFonts w:ascii="GeoSlab703 MdCn BT" w:hAnsi="GeoSlab703 MdCn BT"/>
          <w:b w:val="false"/>
          <w:color w:themeColor="text1" w:themeTint="d9" w:val="262626"/>
          <w:szCs w:val="24"/>
        </w:rPr>
      </w:pPr>
      <w:r>
        <w:rPr>
          <w:rFonts w:ascii="GeoSlab703 MdCn BT" w:hAnsi="GeoSlab703 MdCn BT"/>
          <w:b w:val="false"/>
          <w:color w:themeColor="text1" w:themeTint="d9" w:val="262626"/>
          <w:szCs w:val="24"/>
        </w:rPr>
      </w:r>
    </w:p>
    <w:p>
      <w:pPr>
        <w:pStyle w:val="Heading1"/>
        <w:tabs>
          <w:tab w:val="clear" w:pos="709"/>
          <w:tab w:val="clear" w:pos="851"/>
        </w:tabs>
        <w:ind w:left="6372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Cs w:val="24"/>
          <w:lang w:val="en-US"/>
        </w:rPr>
        <w:t>I. S.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en-US"/>
        </w:rPr>
      </w:pPr>
      <w:r>
        <w:rPr>
          <w:rFonts w:ascii="GeoSlab703 MdCn BT" w:hAnsi="GeoSlab703 MdCn BT"/>
          <w:color w:themeColor="text1" w:themeTint="d9" w:val="262626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{client_name}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GeoSlab703 MdCn BT" w:hAnsi="GeoSlab703 MdCn BT"/>
          <w:b w:val="false"/>
          <w:bCs w:val="false"/>
          <w:color w:themeColor="text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{client_supervisor}</w:t>
      </w:r>
    </w:p>
    <w:p>
      <w:pPr>
        <w:pStyle w:val="Normal"/>
        <w:ind w:firstLine="708" w:left="1416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 xml:space="preserve">Es grato dirigirnos   a   Uds., para   hacerles llegar nuestro Informe correspondiente al Sostenimiento de </w:t>
      </w: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Desratización Integral (CONTROL de roedores)</w:t>
      </w:r>
      <w:r>
        <w:rPr>
          <w:rFonts w:ascii="GeoSlab703 MdCn BT" w:hAnsi="GeoSlab703 MdCn BT"/>
          <w:bCs/>
          <w:smallCaps/>
          <w:color w:themeColor="text1" w:themeTint="d9" w:val="262626"/>
          <w:sz w:val="28"/>
          <w:szCs w:val="28"/>
        </w:rPr>
        <w:t>, desarrollada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 xml:space="preserve"> en los lugares donde se encuentran los cebaderos y de todos los demás ambientes para un adecuado control de vigilancia y prevención en su ubicación, en el día que líneas abajo se menciona: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SOST Desratización                             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Asimismo, estamos haciendo llegar el presente informe, registro de roedores y mapa murino.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sz w:val="28"/>
          <w:szCs w:val="28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 wp14:anchorId="07CB008A">
                <wp:simplePos x="0" y="0"/>
                <wp:positionH relativeFrom="column">
                  <wp:posOffset>1975485</wp:posOffset>
                </wp:positionH>
                <wp:positionV relativeFrom="paragraph">
                  <wp:posOffset>209550</wp:posOffset>
                </wp:positionV>
                <wp:extent cx="1790700" cy="1050925"/>
                <wp:effectExtent l="0" t="0" r="0" b="0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16000" bright="1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90640" cy="105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55.55pt;margin-top:16.5pt;width:140.95pt;height:82.7pt;mso-wrap-style:none;v-text-anchor:middle" wp14:anchorId="07CB008A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DE SOSTENIMIENTO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SOSTENIMIENTO DE DESRATIZACIÓN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2"/>
        <w:gridCol w:w="1540"/>
        <w:gridCol w:w="2285"/>
        <w:gridCol w:w="2113"/>
        <w:gridCol w:w="1563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_table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5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3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3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1.- métodos utilizados, vectores observados y grados de presencia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W w:w="5000" w:type="pct"/>
        <w:jc w:val="left"/>
        <w:tblInd w:w="-16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2.- Control de Roedores.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ind w:left="36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Para este control se realizó la aplicación de los siguientes productos: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both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3.- ambientes tratados</w:t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bidi w:val="0"/>
        <w:spacing w:lineRule="auto" w:line="240" w:before="0" w:after="0"/>
        <w:ind w:hanging="720" w:left="720" w:right="0"/>
        <w:jc w:val="left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4.- productos usados cantidad total</w:t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 w:val="false"/>
          <w:bCs w:val="false"/>
          <w:u w:val="single"/>
        </w:rPr>
      </w:pPr>
      <w:r>
        <w:rPr>
          <w:rFonts w:ascii="GeoSlab703 MdCn BT" w:hAnsi="GeoSlab703 MdCn BT"/>
          <w:b w:val="false"/>
          <w:bCs w:val="false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2"/>
        <w:gridCol w:w="2466"/>
        <w:gridCol w:w="2533"/>
        <w:gridCol w:w="1966"/>
      </w:tblGrid>
      <w:tr>
        <w:trPr>
          <w:trHeight w:val="631" w:hRule="atLeast"/>
        </w:trPr>
        <w:tc>
          <w:tcPr>
            <w:tcW w:w="267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2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>{section_5}</w:t>
        <w:tab/>
        <w:tab/>
        <w:tab/>
        <w:tab/>
        <w:tab/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ab/>
        <w:tab/>
        <w:tab/>
        <w:tab/>
        <w:tab/>
        <w:tab/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410" w:footer="828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GeoSlab703 MdCn BT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e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6857c1"/>
    <w:pPr>
      <w:keepNext w:val="true"/>
      <w:tabs>
        <w:tab w:val="clear" w:pos="708"/>
        <w:tab w:val="left" w:pos="709" w:leader="none"/>
        <w:tab w:val="left" w:pos="851" w:leader="none"/>
      </w:tabs>
      <w:jc w:val="both"/>
      <w:outlineLvl w:val="0"/>
    </w:pPr>
    <w:rPr>
      <w:b/>
      <w:szCs w:val="20"/>
      <w:lang w:eastAsia="es-PE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045a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a045a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045a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a045a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a045aa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857c1"/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6857c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407c9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s-ES" w:eastAsia="es-ES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val="es-ES" w:eastAsia="es-ES"/>
    </w:rPr>
  </w:style>
  <w:style w:type="character" w:styleId="Ttulo5Car" w:customStyle="1">
    <w:name w:val="Título 5 Car"/>
    <w:basedOn w:val="DefaultParagraphFont"/>
    <w:link w:val="Heading5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4"/>
      <w:lang w:val="es-ES" w:eastAsia="es-ES"/>
    </w:rPr>
  </w:style>
  <w:style w:type="character" w:styleId="Ttulo6Car" w:customStyle="1">
    <w:name w:val="Título 6 Car"/>
    <w:basedOn w:val="DefaultParagraphFont"/>
    <w:link w:val="Heading6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Car" w:customStyle="1">
    <w:name w:val="Texto independiente primera sangría Car"/>
    <w:basedOn w:val="TextoindependienteCar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045aa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a045aa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857c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6857c1"/>
    <w:pPr>
      <w:spacing w:before="0" w:after="0"/>
      <w:ind w:left="72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6857c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cb452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407c9"/>
    <w:pPr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SangradetextonormalCar"/>
    <w:uiPriority w:val="99"/>
    <w:unhideWhenUsed/>
    <w:rsid w:val="00a045aa"/>
    <w:pPr>
      <w:spacing w:before="0" w:after="120"/>
      <w:ind w:left="283"/>
    </w:pPr>
    <w:rPr/>
  </w:style>
  <w:style w:type="paragraph" w:styleId="BodyTextFirstIndent">
    <w:name w:val="Body Text First Indent"/>
    <w:basedOn w:val="BodyText"/>
    <w:link w:val="TextoindependienteprimerasangraCar"/>
    <w:uiPriority w:val="99"/>
    <w:unhideWhenUsed/>
    <w:rsid w:val="00a045aa"/>
    <w:pPr>
      <w:spacing w:before="0" w:after="0"/>
      <w:ind w:firstLine="360"/>
    </w:pPr>
    <w:rPr/>
  </w:style>
  <w:style w:type="paragraph" w:styleId="BodyTextFirstIndent2">
    <w:name w:val="Body Text First Indent 2"/>
    <w:basedOn w:val="BodyTextIndent"/>
    <w:link w:val="Textoindependienteprimerasangra2Car"/>
    <w:uiPriority w:val="99"/>
    <w:unhideWhenUsed/>
    <w:qFormat/>
    <w:rsid w:val="00a045aa"/>
    <w:pPr>
      <w:spacing w:before="0" w:after="0"/>
      <w:ind w:firstLine="360" w:left="36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857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2787-97C5-4CBF-A0DC-64BDDCA4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LibreOffice/24.8.7.2$Linux_X86_64 LibreOffice_project/480$Build-2</Application>
  <AppVersion>15.0000</AppVersion>
  <Pages>3</Pages>
  <Words>270</Words>
  <Characters>1776</Characters>
  <CharactersWithSpaces>2028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2016-09-28T14:57:00Z</dcterms:created>
  <dc:creator>william moreyra auris</dc:creator>
  <dc:description/>
  <dc:language>en-US</dc:language>
  <cp:lastModifiedBy/>
  <cp:lastPrinted>2019-04-23T15:19:00Z</cp:lastPrinted>
  <dcterms:modified xsi:type="dcterms:W3CDTF">2025-05-20T11:47:10Z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