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SchoolEd — Final Reconciled Architecture Specification</w:t>
      </w:r>
    </w:p>
    <w:p>
      <w:pPr>
        <w:jc w:val="center"/>
      </w:pPr>
      <w:r>
        <w:rPr>
          <w:b/>
        </w:rPr>
        <w:t>Assessment/CBT + AI Platform • Post Read-Only Codebase Review</w:t>
      </w:r>
    </w:p>
    <w:p>
      <w:pPr>
        <w:jc w:val="center"/>
      </w:pPr>
      <w:r>
        <w:t>Status: Reconciled architecture • Ready for validation before phased implementation planning</w:t>
      </w:r>
    </w:p>
    <w:p/>
    <w:p>
      <w:pPr>
        <w:pStyle w:val="Heading1"/>
      </w:pPr>
      <w:r>
        <w:t>1. Document Purpose</w:t>
      </w:r>
    </w:p>
    <w:p>
      <w:r>
        <w:t>This document is the reconciled architecture specification for SchoolEd Assessment/CBT and its supporting AI platform. It combines the original product requirements with the findings from the read-only inspection of the current SchoolEd codebase, API routes, Supabase migrations, schema snapshot and existing AI features.</w:t>
      </w:r>
    </w:p>
    <w:p>
      <w:r>
        <w:t>The purpose is not to redesign the product from scratch. It is to define the target system accurately against the system that actually exists today, identify the foundation work that must happen first, and establish the boundaries that the implementation agent must not violate.</w:t>
      </w:r>
    </w:p>
    <w:p>
      <w:r>
        <w:t>This is not yet the implementation plan. The next stage, after this document is validated, is to ask ZED AI to convert this approved architecture into a finite implementation plan of approximately 20 phases.</w:t>
      </w:r>
    </w:p>
    <w:p>
      <w:pPr>
        <w:pStyle w:val="Heading1"/>
      </w:pPr>
      <w:r>
        <w:t>2. Executive Decision Summary</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tcPr>
          <w:p>
            <w:r>
              <w:t>Decision</w:t>
            </w:r>
          </w:p>
        </w:tc>
        <w:tc>
          <w:tcPr>
            <w:tcW w:type="dxa" w:w="5112"/>
          </w:tcPr>
          <w:p>
            <w:r>
              <w:t>Final position</w:t>
            </w:r>
          </w:p>
        </w:tc>
      </w:tr>
      <w:tr>
        <w:trPr>
          <w:cantSplit w:val="true"/>
        </w:trPr>
        <w:tc>
          <w:tcPr>
            <w:tcW w:type="dxa" w:w="5112"/>
          </w:tcPr>
          <w:p>
            <w:r>
              <w:t>Current product</w:t>
            </w:r>
          </w:p>
        </w:tc>
        <w:tc>
          <w:tcPr>
            <w:tcW w:type="dxa" w:w="5112"/>
          </w:tcPr>
          <w:p>
            <w:r>
              <w:t>Assessment/CBT. This is the feature being implemented now.</w:t>
            </w:r>
          </w:p>
        </w:tc>
      </w:tr>
      <w:tr>
        <w:trPr>
          <w:cantSplit w:val="true"/>
        </w:trPr>
        <w:tc>
          <w:tcPr>
            <w:tcW w:type="dxa" w:w="5112"/>
          </w:tcPr>
          <w:p>
            <w:r>
              <w:t>Practice Mode</w:t>
            </w:r>
          </w:p>
        </w:tc>
        <w:tc>
          <w:tcPr>
            <w:tcW w:type="dxa" w:w="5112"/>
          </w:tcPr>
          <w:p>
            <w:r>
              <w:t>Future feature. Architect for reuse of the Assessment Engine, but do not activate or expose it now.</w:t>
            </w:r>
          </w:p>
        </w:tc>
      </w:tr>
      <w:tr>
        <w:trPr>
          <w:cantSplit w:val="true"/>
        </w:trPr>
        <w:tc>
          <w:tcPr>
            <w:tcW w:type="dxa" w:w="5112"/>
          </w:tcPr>
          <w:p>
            <w:r>
              <w:t>Database</w:t>
            </w:r>
          </w:p>
        </w:tc>
        <w:tc>
          <w:tcPr>
            <w:tcW w:type="dxa" w:w="5112"/>
          </w:tcPr>
          <w:p>
            <w:r>
              <w:t>Supabase/Postgres remains the system of record for assessment, questions, attempts, results, audit and AI-credit data.</w:t>
            </w:r>
          </w:p>
        </w:tc>
      </w:tr>
      <w:tr>
        <w:trPr>
          <w:cantSplit w:val="true"/>
        </w:trPr>
        <w:tc>
          <w:tcPr>
            <w:tcW w:type="dxa" w:w="5112"/>
          </w:tcPr>
          <w:p>
            <w:r>
              <w:t>AI provider</w:t>
            </w:r>
          </w:p>
        </w:tc>
        <w:tc>
          <w:tcPr>
            <w:tcW w:type="dxa" w:w="5112"/>
          </w:tcPr>
          <w:p>
            <w:r>
              <w:t>DeepSeek is the initial provider.</w:t>
            </w:r>
          </w:p>
        </w:tc>
      </w:tr>
      <w:tr>
        <w:trPr>
          <w:cantSplit w:val="true"/>
        </w:trPr>
        <w:tc>
          <w:tcPr>
            <w:tcW w:type="dxa" w:w="5112"/>
          </w:tcPr>
          <w:p>
            <w:r>
              <w:t>Provider architecture</w:t>
            </w:r>
          </w:p>
        </w:tc>
        <w:tc>
          <w:tcPr>
            <w:tcW w:type="dxa" w:w="5112"/>
          </w:tcPr>
          <w:p>
            <w:r>
              <w:t>Provider-agnostic AI Gateway with capability-based contracts and configurable finite fallback.</w:t>
            </w:r>
          </w:p>
        </w:tc>
      </w:tr>
      <w:tr>
        <w:trPr>
          <w:cantSplit w:val="true"/>
        </w:trPr>
        <w:tc>
          <w:tcPr>
            <w:tcW w:type="dxa" w:w="5112"/>
          </w:tcPr>
          <w:p>
            <w:r>
              <w:t>AI Credits</w:t>
            </w:r>
          </w:p>
        </w:tc>
        <w:tc>
          <w:tcPr>
            <w:tcW w:type="dxa" w:w="5112"/>
          </w:tcPr>
          <w:p>
            <w:r>
              <w:t>School-owned wallet; included, promotional and future purchased credits; ledger-based accounting.</w:t>
            </w:r>
          </w:p>
        </w:tc>
      </w:tr>
      <w:tr>
        <w:trPr>
          <w:cantSplit w:val="true"/>
        </w:trPr>
        <w:tc>
          <w:tcPr>
            <w:tcW w:type="dxa" w:w="5112"/>
          </w:tcPr>
          <w:p>
            <w:r>
              <w:t>AI marking</w:t>
            </w:r>
          </w:p>
        </w:tc>
        <w:tc>
          <w:tcPr>
            <w:tcW w:type="dxa" w:w="5112"/>
          </w:tcPr>
          <w:p>
            <w:r>
              <w:t>Optional for subjective/theory answers; AI suggestion only until authorized teacher approval.</w:t>
            </w:r>
          </w:p>
        </w:tc>
      </w:tr>
      <w:tr>
        <w:trPr>
          <w:cantSplit w:val="true"/>
        </w:trPr>
        <w:tc>
          <w:tcPr>
            <w:tcW w:type="dxa" w:w="5112"/>
          </w:tcPr>
          <w:p>
            <w:r>
              <w:t>Objective marking</w:t>
            </w:r>
          </w:p>
        </w:tc>
        <w:tc>
          <w:tcPr>
            <w:tcW w:type="dxa" w:w="5112"/>
          </w:tcPr>
          <w:p>
            <w:r>
              <w:t>Deterministic application logic; no AI required.</w:t>
            </w:r>
          </w:p>
        </w:tc>
      </w:tr>
      <w:tr>
        <w:trPr>
          <w:cantSplit w:val="true"/>
        </w:trPr>
        <w:tc>
          <w:tcPr>
            <w:tcW w:type="dxa" w:w="5112"/>
          </w:tcPr>
          <w:p>
            <w:r>
              <w:t>Super Admin Copilot</w:t>
            </w:r>
          </w:p>
        </w:tc>
        <w:tc>
          <w:tcPr>
            <w:tcW w:type="dxa" w:w="5112"/>
          </w:tcPr>
          <w:p>
            <w:r>
              <w:t>Separate permission/tool domain from school-facing AI.</w:t>
            </w:r>
          </w:p>
        </w:tc>
      </w:tr>
      <w:tr>
        <w:trPr>
          <w:cantSplit w:val="true"/>
        </w:trPr>
        <w:tc>
          <w:tcPr>
            <w:tcW w:type="dxa" w:w="5112"/>
          </w:tcPr>
          <w:p>
            <w:r>
              <w:t>Tenant isolation</w:t>
            </w:r>
          </w:p>
        </w:tc>
        <w:tc>
          <w:tcPr>
            <w:tcW w:type="dxa" w:w="5112"/>
          </w:tcPr>
          <w:p>
            <w:r>
              <w:t>Application authorization plus real database-level isolation; RLS should be repaired and used as defense in depth.</w:t>
            </w:r>
          </w:p>
        </w:tc>
      </w:tr>
      <w:tr>
        <w:trPr>
          <w:cantSplit w:val="true"/>
        </w:trPr>
        <w:tc>
          <w:tcPr>
            <w:tcW w:type="dxa" w:w="5112"/>
          </w:tcPr>
          <w:p>
            <w:r>
              <w:t>AI security</w:t>
            </w:r>
          </w:p>
        </w:tc>
        <w:tc>
          <w:tcPr>
            <w:tcW w:type="dxa" w:w="5112"/>
          </w:tcPr>
          <w:p>
            <w:r>
              <w:t>Untrusted documents/data never become model authority; no unrestricted SQL/database tools.</w:t>
            </w:r>
          </w:p>
        </w:tc>
      </w:tr>
      <w:tr>
        <w:trPr>
          <w:cantSplit w:val="true"/>
        </w:trPr>
        <w:tc>
          <w:tcPr>
            <w:tcW w:type="dxa" w:w="5112"/>
          </w:tcPr>
          <w:p>
            <w:r>
              <w:t>CBT UI</w:t>
            </w:r>
          </w:p>
        </w:tc>
        <w:tc>
          <w:tcPr>
            <w:tcW w:type="dxa" w:w="5112"/>
          </w:tcPr>
          <w:p>
            <w:r>
              <w:t>One question per screen, responsive and inherited from the existing SchoolEd design system.</w:t>
            </w:r>
          </w:p>
        </w:tc>
      </w:tr>
    </w:tbl>
    <w:p>
      <w:pPr>
        <w:pStyle w:val="Heading1"/>
      </w:pPr>
      <w:r>
        <w:t>3. What We Are Building</w:t>
      </w:r>
    </w:p>
    <w:p>
      <w:r>
        <w:t>SchoolEd will provide a school-scoped Assessment/CBT system that allows authorized users to create and organize questions, assemble and publish assessments, deliver them to students, calculate results, review and publish scores, and maintain auditable corrections.</w:t>
      </w:r>
    </w:p>
    <w:p>
      <w:r>
        <w:t>An optional AI intelligence layer will reduce teacher effort through question extraction, generation, editing, speech-to-text and configurable subjective marking. AI will be an assisting layer, not the authority for official academic records.</w:t>
      </w:r>
    </w:p>
    <w:p>
      <w:pPr>
        <w:pStyle w:val="Heading1"/>
      </w:pPr>
      <w:r>
        <w:t>4. Current Scope</w:t>
      </w:r>
    </w:p>
    <w:p>
      <w:pPr>
        <w:pStyle w:val="Heading2"/>
      </w:pPr>
      <w:r>
        <w:t>4.1 Build Now</w:t>
      </w:r>
    </w:p>
    <w:p>
      <w:pPr>
        <w:pStyle w:val="ListBullet"/>
      </w:pPr>
      <w:r>
        <w:t>Assessment/CBT engine</w:t>
      </w:r>
    </w:p>
    <w:p>
      <w:pPr>
        <w:pStyle w:val="ListBullet"/>
      </w:pPr>
      <w:r>
        <w:t>School-scoped Question Bank</w:t>
      </w:r>
    </w:p>
    <w:p>
      <w:pPr>
        <w:pStyle w:val="ListBullet"/>
      </w:pPr>
      <w:r>
        <w:t>Manual question creation and editing</w:t>
      </w:r>
    </w:p>
    <w:p>
      <w:pPr>
        <w:pStyle w:val="ListBullet"/>
      </w:pPr>
      <w:r>
        <w:t>Assessment configuration, preview and publishing</w:t>
      </w:r>
    </w:p>
    <w:p>
      <w:pPr>
        <w:pStyle w:val="ListBullet"/>
      </w:pPr>
      <w:r>
        <w:t>Student assessment-taking flow</w:t>
      </w:r>
    </w:p>
    <w:p>
      <w:pPr>
        <w:pStyle w:val="ListBullet"/>
      </w:pPr>
      <w:r>
        <w:t>Server-authoritative timer</w:t>
      </w:r>
    </w:p>
    <w:p>
      <w:pPr>
        <w:pStyle w:val="ListBullet"/>
      </w:pPr>
      <w:r>
        <w:t>Configurable assessment attempt limits</w:t>
      </w:r>
    </w:p>
    <w:p>
      <w:pPr>
        <w:pStyle w:val="ListBullet"/>
      </w:pPr>
      <w:r>
        <w:t>Autosave/network recovery behavior appropriate to the web application</w:t>
      </w:r>
    </w:p>
    <w:p>
      <w:pPr>
        <w:pStyle w:val="ListBullet"/>
      </w:pPr>
      <w:r>
        <w:t>Deterministic objective grading</w:t>
      </w:r>
    </w:p>
    <w:p>
      <w:pPr>
        <w:pStyle w:val="ListBullet"/>
      </w:pPr>
      <w:r>
        <w:t>Subjective/theory marking workflow</w:t>
      </w:r>
    </w:p>
    <w:p>
      <w:pPr>
        <w:pStyle w:val="ListBullet"/>
      </w:pPr>
      <w:r>
        <w:t>Optional AI-assisted subjective marking with teacher approval</w:t>
      </w:r>
    </w:p>
    <w:p>
      <w:pPr>
        <w:pStyle w:val="ListBullet"/>
      </w:pPr>
      <w:r>
        <w:t>Result publication</w:t>
      </w:r>
    </w:p>
    <w:p>
      <w:pPr>
        <w:pStyle w:val="ListBullet"/>
      </w:pPr>
      <w:r>
        <w:t>Result correction with audit trail</w:t>
      </w:r>
    </w:p>
    <w:p>
      <w:pPr>
        <w:pStyle w:val="ListBullet"/>
      </w:pPr>
      <w:r>
        <w:t>AI Gateway</w:t>
      </w:r>
    </w:p>
    <w:p>
      <w:pPr>
        <w:pStyle w:val="ListBullet"/>
      </w:pPr>
      <w:r>
        <w:t>DeepSeek adapter/integration</w:t>
      </w:r>
    </w:p>
    <w:p>
      <w:pPr>
        <w:pStyle w:val="ListBullet"/>
      </w:pPr>
      <w:r>
        <w:t>Provider configuration and finite fallback architecture</w:t>
      </w:r>
    </w:p>
    <w:p>
      <w:pPr>
        <w:pStyle w:val="ListBullet"/>
      </w:pPr>
      <w:r>
        <w:t>School-owned AI Credit wallet and ledger</w:t>
      </w:r>
    </w:p>
    <w:p>
      <w:pPr>
        <w:pStyle w:val="ListBullet"/>
      </w:pPr>
      <w:r>
        <w:t>AI-assisted PDF/image question extraction</w:t>
      </w:r>
    </w:p>
    <w:p>
      <w:pPr>
        <w:pStyle w:val="ListBullet"/>
      </w:pPr>
      <w:r>
        <w:t>AI-assisted text-to-question generation</w:t>
      </w:r>
    </w:p>
    <w:p>
      <w:pPr>
        <w:pStyle w:val="ListBullet"/>
      </w:pPr>
      <w:r>
        <w:t>AI-assisted question editing</w:t>
      </w:r>
    </w:p>
    <w:p>
      <w:pPr>
        <w:pStyle w:val="ListBullet"/>
      </w:pPr>
      <w:r>
        <w:t>Voice-to-text workflow</w:t>
      </w:r>
    </w:p>
    <w:p>
      <w:pPr>
        <w:pStyle w:val="ListBullet"/>
      </w:pPr>
      <w:r>
        <w:t>Prompt-injection/content-security controls</w:t>
      </w:r>
    </w:p>
    <w:p>
      <w:pPr>
        <w:pStyle w:val="ListBullet"/>
      </w:pPr>
      <w:r>
        <w:t>Tenant-isolation hardening needed to safely operate the feature</w:t>
      </w:r>
    </w:p>
    <w:p>
      <w:pPr>
        <w:pStyle w:val="Heading2"/>
      </w:pPr>
      <w:r>
        <w:t>4.2 Architect for Later, Do Not Activate Now</w:t>
      </w:r>
    </w:p>
    <w:p>
      <w:pPr>
        <w:pStyle w:val="ListBullet"/>
      </w:pPr>
      <w:r>
        <w:t>Practice Mode</w:t>
      </w:r>
    </w:p>
    <w:p>
      <w:pPr>
        <w:pStyle w:val="ListBullet"/>
      </w:pPr>
      <w:r>
        <w:t>Public student learning platform</w:t>
      </w:r>
    </w:p>
    <w:p>
      <w:pPr>
        <w:pStyle w:val="ListBullet"/>
      </w:pPr>
      <w:r>
        <w:t>AI tutoring and adaptive learning</w:t>
      </w:r>
    </w:p>
    <w:p>
      <w:pPr>
        <w:pStyle w:val="ListBullet"/>
      </w:pPr>
      <w:r>
        <w:t>Lesson-note generation and lesson-note-to-question workflows</w:t>
      </w:r>
    </w:p>
    <w:p>
      <w:pPr>
        <w:pStyle w:val="ListBullet"/>
      </w:pPr>
      <w:r>
        <w:t>Additional AI providers beyond the initial production provider</w:t>
      </w:r>
    </w:p>
    <w:p>
      <w:pPr>
        <w:pStyle w:val="ListBullet"/>
      </w:pPr>
      <w:r>
        <w:t>Teacher-personal AI-credit purchasing</w:t>
      </w:r>
    </w:p>
    <w:p>
      <w:r>
        <w:t>Practice Mode is a product feature, not a different assessment engine. The current architecture must allow it to be introduced later using the same underlying question, attempt, timing and scoring infrastructure. No practice user interface, navigation, entitlement or billing should be activated in the current release.</w:t>
      </w:r>
    </w:p>
    <w:p>
      <w:pPr>
        <w:pStyle w:val="Heading1"/>
      </w:pPr>
      <w:r>
        <w:t>5. Users and Permission Boundaries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tcPr>
          <w:p>
            <w:r>
              <w:t>Actor</w:t>
            </w:r>
          </w:p>
        </w:tc>
        <w:tc>
          <w:tcPr>
            <w:tcW w:type="dxa" w:w="3408"/>
          </w:tcPr>
          <w:p>
            <w:r>
              <w:t>Responsibilities</w:t>
            </w:r>
          </w:p>
        </w:tc>
        <w:tc>
          <w:tcPr>
            <w:tcW w:type="dxa" w:w="3408"/>
          </w:tcPr>
          <w:p>
            <w:r>
              <w:t>Boundary</w:t>
            </w:r>
          </w:p>
        </w:tc>
      </w:tr>
      <w:tr>
        <w:trPr>
          <w:cantSplit w:val="true"/>
        </w:trPr>
        <w:tc>
          <w:tcPr>
            <w:tcW w:type="dxa" w:w="3408"/>
            <w:vAlign w:val="center"/>
          </w:tcPr>
          <w:p>
            <w:r>
              <w:t>Student</w:t>
            </w:r>
          </w:p>
        </w:tc>
        <w:tc>
          <w:tcPr>
            <w:tcW w:type="dxa" w:w="3408"/>
            <w:vAlign w:val="center"/>
          </w:tcPr>
          <w:p>
            <w:r>
              <w:t>Take assigned assessments, save answers, submit, view permitted results.</w:t>
            </w:r>
          </w:p>
        </w:tc>
        <w:tc>
          <w:tcPr>
            <w:tcW w:type="dxa" w:w="3408"/>
            <w:vAlign w:val="center"/>
          </w:tcPr>
          <w:p>
            <w:r>
              <w:t>No administrative database actions or provider configuration.</w:t>
            </w:r>
          </w:p>
        </w:tc>
      </w:tr>
      <w:tr>
        <w:trPr>
          <w:cantSplit w:val="true"/>
        </w:trPr>
        <w:tc>
          <w:tcPr>
            <w:tcW w:type="dxa" w:w="3408"/>
            <w:vAlign w:val="center"/>
          </w:tcPr>
          <w:p>
            <w:r>
              <w:t>Teacher</w:t>
            </w:r>
          </w:p>
        </w:tc>
        <w:tc>
          <w:tcPr>
            <w:tcW w:type="dxa" w:w="3408"/>
            <w:vAlign w:val="center"/>
          </w:tcPr>
          <w:p>
            <w:r>
              <w:t>Create/manage questions and assessments, review AI outputs, mark/review results, correct scores with reason.</w:t>
            </w:r>
          </w:p>
        </w:tc>
        <w:tc>
          <w:tcPr>
            <w:tcW w:type="dxa" w:w="3408"/>
            <w:vAlign w:val="center"/>
          </w:tcPr>
          <w:p>
            <w:r>
              <w:t>Uses school AI wallet only when the school permits the operation.</w:t>
            </w:r>
          </w:p>
        </w:tc>
      </w:tr>
      <w:tr>
        <w:trPr>
          <w:cantSplit w:val="true"/>
        </w:trPr>
        <w:tc>
          <w:tcPr>
            <w:tcW w:type="dxa" w:w="3408"/>
            <w:vAlign w:val="center"/>
          </w:tcPr>
          <w:p>
            <w:r>
              <w:t>School Admin/Owner</w:t>
            </w:r>
          </w:p>
        </w:tc>
        <w:tc>
          <w:tcPr>
            <w:tcW w:type="dxa" w:w="3408"/>
            <w:vAlign w:val="center"/>
          </w:tcPr>
          <w:p>
            <w:r>
              <w:t>Control school-level assessment and AI settings, enable capabilities, view school AI usage/balance.</w:t>
            </w:r>
          </w:p>
        </w:tc>
        <w:tc>
          <w:tcPr>
            <w:tcW w:type="dxa" w:w="3408"/>
            <w:vAlign w:val="center"/>
          </w:tcPr>
          <w:p>
            <w:r>
              <w:t>Never crosses school tenant boundaries.</w:t>
            </w:r>
          </w:p>
        </w:tc>
      </w:tr>
      <w:tr>
        <w:trPr>
          <w:cantSplit w:val="true"/>
        </w:trPr>
        <w:tc>
          <w:tcPr>
            <w:tcW w:type="dxa" w:w="3408"/>
            <w:vAlign w:val="center"/>
          </w:tcPr>
          <w:p>
            <w:r>
              <w:t>Super Admin</w:t>
            </w:r>
          </w:p>
        </w:tc>
        <w:tc>
          <w:tcPr>
            <w:tcW w:type="dxa" w:w="3408"/>
            <w:vAlign w:val="center"/>
          </w:tcPr>
          <w:p>
            <w:r>
              <w:t>Platform configuration, provider management, school AI-credit allocation, platform monitoring.</w:t>
            </w:r>
          </w:p>
        </w:tc>
        <w:tc>
          <w:tcPr>
            <w:tcW w:type="dxa" w:w="3408"/>
            <w:vAlign w:val="center"/>
          </w:tcPr>
          <w:p>
            <w:r>
              <w:t>Platform-wide authority is still explicitly controlled and audited.</w:t>
            </w:r>
          </w:p>
        </w:tc>
      </w:tr>
      <w:tr>
        <w:trPr>
          <w:cantSplit w:val="true"/>
        </w:trPr>
        <w:tc>
          <w:tcPr>
            <w:tcW w:type="dxa" w:w="3408"/>
            <w:vAlign w:val="center"/>
          </w:tcPr>
          <w:p>
            <w:r>
              <w:t>Super Admin Copilot</w:t>
            </w:r>
          </w:p>
        </w:tc>
        <w:tc>
          <w:tcPr>
            <w:tcW w:type="dxa" w:w="3408"/>
            <w:vAlign w:val="center"/>
          </w:tcPr>
          <w:p>
            <w:r>
              <w:t>Separate administrative copilot for controlled platform operations.</w:t>
            </w:r>
          </w:p>
        </w:tc>
        <w:tc>
          <w:tcPr>
            <w:tcW w:type="dxa" w:w="3408"/>
            <w:vAlign w:val="center"/>
          </w:tcPr>
          <w:p>
            <w:r>
              <w:t>Separate permission/tool domain; may have controlled writes that school AI must never have.</w:t>
            </w:r>
          </w:p>
        </w:tc>
      </w:tr>
    </w:tbl>
    <w:p>
      <w:pPr>
        <w:pStyle w:val="Heading1"/>
      </w:pPr>
      <w:r>
        <w:t>6. Core Assessment Use Case</w:t>
      </w:r>
    </w:p>
    <w:p>
      <w:r>
        <w:t>Example: a teacher creates a JSS1 Mathematics assessment. The teacher chooses the academic context, adds questions manually or uses an AI-assisted operation, reviews the resulting draft, assembles the assessment, previews it, publishes it, and students complete it one question per screen.</w:t>
      </w:r>
    </w:p>
    <w:p>
      <w:pPr>
        <w:pStyle w:val="ListNumber"/>
      </w:pPr>
      <w:r>
        <w:t>Teacher enters the Assessment/Question Bank area.</w:t>
      </w:r>
    </w:p>
    <w:p>
      <w:pPr>
        <w:pStyle w:val="ListNumber"/>
      </w:pPr>
      <w:r>
        <w:t>Teacher selects subject, class and topic.</w:t>
      </w:r>
    </w:p>
    <w:p>
      <w:pPr>
        <w:pStyle w:val="ListNumber"/>
      </w:pPr>
      <w:r>
        <w:t>Teacher creates questions manually or invokes an approved AI operation.</w:t>
      </w:r>
    </w:p>
    <w:p>
      <w:pPr>
        <w:pStyle w:val="ListNumber"/>
      </w:pPr>
      <w:r>
        <w:t>The platform authenticates the user and checks school-level permission.</w:t>
      </w:r>
    </w:p>
    <w:p>
      <w:pPr>
        <w:pStyle w:val="ListNumber"/>
      </w:pPr>
      <w:r>
        <w:t>If AI is involved, the AI Gateway checks available AI Credits and reserves/charges according to the operation.</w:t>
      </w:r>
    </w:p>
    <w:p>
      <w:pPr>
        <w:pStyle w:val="ListNumber"/>
      </w:pPr>
      <w:r>
        <w:t>AI produces structured draft output; the application validates the output.</w:t>
      </w:r>
    </w:p>
    <w:p>
      <w:pPr>
        <w:pStyle w:val="ListNumber"/>
      </w:pPr>
      <w:r>
        <w:t>Teacher reviews, edits and approves the question(s).</w:t>
      </w:r>
    </w:p>
    <w:p>
      <w:pPr>
        <w:pStyle w:val="ListNumber"/>
      </w:pPr>
      <w:r>
        <w:t>Teacher adds/confirm media associated with individual questions.</w:t>
      </w:r>
    </w:p>
    <w:p>
      <w:pPr>
        <w:pStyle w:val="ListNumber"/>
      </w:pPr>
      <w:r>
        <w:t>Teacher configures the assessment, including questions, marks, attempt rules and timing.</w:t>
      </w:r>
    </w:p>
    <w:p>
      <w:pPr>
        <w:pStyle w:val="ListNumber"/>
      </w:pPr>
      <w:r>
        <w:t>Teacher previews the assessment and publishes it.</w:t>
      </w:r>
    </w:p>
    <w:p>
      <w:pPr>
        <w:pStyle w:val="ListNumber"/>
      </w:pPr>
      <w:r>
        <w:t>Student starts the assessment; the server records authoritative start/expiry information.</w:t>
      </w:r>
    </w:p>
    <w:p>
      <w:pPr>
        <w:pStyle w:val="ListNumber"/>
      </w:pPr>
      <w:r>
        <w:t>Student answers one question at a time.</w:t>
      </w:r>
    </w:p>
    <w:p>
      <w:pPr>
        <w:pStyle w:val="ListNumber"/>
      </w:pPr>
      <w:r>
        <w:t>Objective answers are marked deterministically.</w:t>
      </w:r>
    </w:p>
    <w:p>
      <w:pPr>
        <w:pStyle w:val="ListNumber"/>
      </w:pPr>
      <w:r>
        <w:t>Subjective answers are manually marked or optionally receive an AI suggestion when enabled.</w:t>
      </w:r>
    </w:p>
    <w:p>
      <w:pPr>
        <w:pStyle w:val="ListNumber"/>
      </w:pPr>
      <w:r>
        <w:t>Teacher approves/adjusts subjective AI suggestions before official publication.</w:t>
      </w:r>
    </w:p>
    <w:p>
      <w:pPr>
        <w:pStyle w:val="ListNumber"/>
      </w:pPr>
      <w:r>
        <w:t>Results are published according to school settings.</w:t>
      </w:r>
    </w:p>
    <w:p>
      <w:pPr>
        <w:pStyle w:val="ListNumber"/>
      </w:pPr>
      <w:r>
        <w:t>Later corrections preserve the original and corrected values plus reason, actor and timestamp.</w:t>
      </w:r>
    </w:p>
    <w:p>
      <w:pPr>
        <w:pStyle w:val="Heading1"/>
      </w:pPr>
      <w:r>
        <w:t>7. Question Bank Architecture</w:t>
      </w:r>
    </w:p>
    <w:p>
      <w:r>
        <w:t>The conceptual Question entity must support:</w:t>
      </w:r>
    </w:p>
    <w:p>
      <w:pPr>
        <w:pStyle w:val="ListBullet"/>
      </w:pPr>
      <w:r>
        <w:t>school_id / tenant ownership</w:t>
      </w:r>
    </w:p>
    <w:p>
      <w:pPr>
        <w:pStyle w:val="ListBullet"/>
      </w:pPr>
      <w:r>
        <w:t>subject</w:t>
      </w:r>
    </w:p>
    <w:p>
      <w:pPr>
        <w:pStyle w:val="ListBullet"/>
      </w:pPr>
      <w:r>
        <w:t>class/level</w:t>
      </w:r>
    </w:p>
    <w:p>
      <w:pPr>
        <w:pStyle w:val="ListBullet"/>
      </w:pPr>
      <w:r>
        <w:t>topic</w:t>
      </w:r>
    </w:p>
    <w:p>
      <w:pPr>
        <w:pStyle w:val="ListBullet"/>
      </w:pPr>
      <w:r>
        <w:t>question type</w:t>
      </w:r>
    </w:p>
    <w:p>
      <w:pPr>
        <w:pStyle w:val="ListBullet"/>
      </w:pPr>
      <w:r>
        <w:t>question text</w:t>
      </w:r>
    </w:p>
    <w:p>
      <w:pPr>
        <w:pStyle w:val="ListBullet"/>
      </w:pPr>
      <w:r>
        <w:t>section where applicable</w:t>
      </w:r>
    </w:p>
    <w:p>
      <w:pPr>
        <w:pStyle w:val="ListBullet"/>
      </w:pPr>
      <w:r>
        <w:t>marks</w:t>
      </w:r>
    </w:p>
    <w:p>
      <w:pPr>
        <w:pStyle w:val="ListBullet"/>
      </w:pPr>
      <w:r>
        <w:t>difficulty where available/used</w:t>
      </w:r>
    </w:p>
    <w:p>
      <w:pPr>
        <w:pStyle w:val="ListBullet"/>
      </w:pPr>
      <w:r>
        <w:t>options where applicable</w:t>
      </w:r>
    </w:p>
    <w:p>
      <w:pPr>
        <w:pStyle w:val="ListBullet"/>
      </w:pPr>
      <w:r>
        <w:t>stable correct-option identity where applicable</w:t>
      </w:r>
    </w:p>
    <w:p>
      <w:pPr>
        <w:pStyle w:val="ListBullet"/>
      </w:pPr>
      <w:r>
        <w:t>optional explanation</w:t>
      </w:r>
    </w:p>
    <w:p>
      <w:pPr>
        <w:pStyle w:val="ListBullet"/>
      </w:pPr>
      <w:r>
        <w:t>question media</w:t>
      </w:r>
    </w:p>
    <w:p>
      <w:pPr>
        <w:pStyle w:val="ListBullet"/>
      </w:pPr>
      <w:r>
        <w:t>draft/review/approved lifecycle metadata</w:t>
      </w:r>
    </w:p>
    <w:p>
      <w:pPr>
        <w:pStyle w:val="ListBullet"/>
      </w:pPr>
      <w:r>
        <w:t>AI provenance/operation metadata where applicable</w:t>
      </w:r>
    </w:p>
    <w:p>
      <w:r>
        <w:t>Learning Objective and Subtopic are not required fields for the current version. They may be introduced later without changing the core question lifecycle.</w:t>
      </w:r>
    </w:p>
    <w:p>
      <w:pPr>
        <w:pStyle w:val="Heading1"/>
      </w:pPr>
      <w:r>
        <w:t>8. Critical Question Integrity Rule</w:t>
      </w:r>
    </w:p>
    <w:p>
      <w:r>
        <w:t>Every option receives a stable internal option identifier. The display labels A/B/C/D are presentation labels only. Student answers store the selected option identifier. The grading engine compares identifiers, never display letters.</w:t>
      </w:r>
    </w:p>
    <w:p>
      <w:r>
        <w:t>This rule is mandatory because question/option randomization must never alter the correct-answer meaning.</w:t>
      </w:r>
    </w:p>
    <w:p>
      <w:pPr>
        <w:pStyle w:val="Heading1"/>
      </w:pPr>
      <w:r>
        <w:t>9. Question Media and AI Extraction</w:t>
      </w:r>
    </w:p>
    <w:p>
      <w:pPr>
        <w:pStyle w:val="ListBullet"/>
      </w:pPr>
      <w:r>
        <w:t>A question may contain one or more attached media assets such as diagrams, photographs, charts or maps.</w:t>
      </w:r>
    </w:p>
    <w:p>
      <w:pPr>
        <w:pStyle w:val="ListBullet"/>
      </w:pPr>
      <w:r>
        <w:t>Media added by a teacher is explicitly linked to the question to which it belongs.</w:t>
      </w:r>
    </w:p>
    <w:p>
      <w:pPr>
        <w:pStyle w:val="ListBullet"/>
      </w:pPr>
      <w:r>
        <w:t>When AI extracts an image from an uploaded PDF/image, the system must associate it to the most likely question and expose the association for teacher review.</w:t>
      </w:r>
    </w:p>
    <w:p>
      <w:pPr>
        <w:pStyle w:val="ListBullet"/>
      </w:pPr>
      <w:r>
        <w:t>Low-confidence extraction or association is marked Needs Review and is not silently published.</w:t>
      </w:r>
    </w:p>
    <w:p>
      <w:pPr>
        <w:pStyle w:val="ListBullet"/>
      </w:pPr>
      <w:r>
        <w:t>Sensitive examination/student media must not remain publicly accessible.</w:t>
      </w:r>
    </w:p>
    <w:p>
      <w:pPr>
        <w:pStyle w:val="Heading1"/>
      </w:pPr>
      <w:r>
        <w:t>10. Assessment Lifecycle</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tcPr>
          <w:p>
            <w:r>
              <w:t>State</w:t>
            </w:r>
          </w:p>
        </w:tc>
        <w:tc>
          <w:tcPr>
            <w:tcW w:type="dxa" w:w="5112"/>
          </w:tcPr>
          <w:p>
            <w:r>
              <w:t>Meaning</w:t>
            </w:r>
          </w:p>
        </w:tc>
      </w:tr>
      <w:tr>
        <w:trPr>
          <w:cantSplit w:val="true"/>
        </w:trPr>
        <w:tc>
          <w:tcPr>
            <w:tcW w:type="dxa" w:w="5112"/>
            <w:vAlign w:val="center"/>
          </w:tcPr>
          <w:p>
            <w:r>
              <w:t>Stage</w:t>
            </w:r>
          </w:p>
        </w:tc>
        <w:tc>
          <w:tcPr>
            <w:tcW w:type="dxa" w:w="5112"/>
            <w:vAlign w:val="center"/>
          </w:tcPr>
          <w:p>
            <w:r>
              <w:t>System behavior</w:t>
            </w:r>
          </w:p>
        </w:tc>
      </w:tr>
      <w:tr>
        <w:trPr>
          <w:cantSplit w:val="true"/>
        </w:trPr>
        <w:tc>
          <w:tcPr>
            <w:tcW w:type="dxa" w:w="5112"/>
            <w:vAlign w:val="center"/>
          </w:tcPr>
          <w:p>
            <w:r>
              <w:t>Draft</w:t>
            </w:r>
          </w:p>
        </w:tc>
        <w:tc>
          <w:tcPr>
            <w:tcW w:type="dxa" w:w="5112"/>
            <w:vAlign w:val="center"/>
          </w:tcPr>
          <w:p>
            <w:r>
              <w:t>Teacher creates/edits assessment and its questions.</w:t>
            </w:r>
          </w:p>
        </w:tc>
      </w:tr>
      <w:tr>
        <w:trPr>
          <w:cantSplit w:val="true"/>
        </w:trPr>
        <w:tc>
          <w:tcPr>
            <w:tcW w:type="dxa" w:w="5112"/>
            <w:vAlign w:val="center"/>
          </w:tcPr>
          <w:p>
            <w:r>
              <w:t>Review</w:t>
            </w:r>
          </w:p>
        </w:tc>
        <w:tc>
          <w:tcPr>
            <w:tcW w:type="dxa" w:w="5112"/>
            <w:vAlign w:val="center"/>
          </w:tcPr>
          <w:p>
            <w:r>
              <w:t>Teacher previews content, answer keys, media and configuration.</w:t>
            </w:r>
          </w:p>
        </w:tc>
      </w:tr>
      <w:tr>
        <w:trPr>
          <w:cantSplit w:val="true"/>
        </w:trPr>
        <w:tc>
          <w:tcPr>
            <w:tcW w:type="dxa" w:w="5112"/>
            <w:vAlign w:val="center"/>
          </w:tcPr>
          <w:p>
            <w:r>
              <w:t>Published</w:t>
            </w:r>
          </w:p>
        </w:tc>
        <w:tc>
          <w:tcPr>
            <w:tcW w:type="dxa" w:w="5112"/>
            <w:vAlign w:val="center"/>
          </w:tcPr>
          <w:p>
            <w:r>
              <w:t>Assessment becomes available to its intended student population.</w:t>
            </w:r>
          </w:p>
        </w:tc>
      </w:tr>
      <w:tr>
        <w:trPr>
          <w:cantSplit w:val="true"/>
        </w:trPr>
        <w:tc>
          <w:tcPr>
            <w:tcW w:type="dxa" w:w="5112"/>
            <w:vAlign w:val="center"/>
          </w:tcPr>
          <w:p>
            <w:r>
              <w:t>In Progress</w:t>
            </w:r>
          </w:p>
        </w:tc>
        <w:tc>
          <w:tcPr>
            <w:tcW w:type="dxa" w:w="5112"/>
            <w:vAlign w:val="center"/>
          </w:tcPr>
          <w:p>
            <w:r>
              <w:t>Student has an active attempt with authoritative timing.</w:t>
            </w:r>
          </w:p>
        </w:tc>
      </w:tr>
      <w:tr>
        <w:trPr>
          <w:cantSplit w:val="true"/>
        </w:trPr>
        <w:tc>
          <w:tcPr>
            <w:tcW w:type="dxa" w:w="5112"/>
            <w:vAlign w:val="center"/>
          </w:tcPr>
          <w:p>
            <w:r>
              <w:t>Submitted</w:t>
            </w:r>
          </w:p>
        </w:tc>
        <w:tc>
          <w:tcPr>
            <w:tcW w:type="dxa" w:w="5112"/>
            <w:vAlign w:val="center"/>
          </w:tcPr>
          <w:p>
            <w:r>
              <w:t>Attempt is locked according to assessment rules and becomes eligible for marking.</w:t>
            </w:r>
          </w:p>
        </w:tc>
      </w:tr>
      <w:tr>
        <w:trPr>
          <w:cantSplit w:val="true"/>
        </w:trPr>
        <w:tc>
          <w:tcPr>
            <w:tcW w:type="dxa" w:w="5112"/>
            <w:vAlign w:val="center"/>
          </w:tcPr>
          <w:p>
            <w:r>
              <w:t>Marked</w:t>
            </w:r>
          </w:p>
        </w:tc>
        <w:tc>
          <w:tcPr>
            <w:tcW w:type="dxa" w:w="5112"/>
            <w:vAlign w:val="center"/>
          </w:tcPr>
          <w:p>
            <w:r>
              <w:t>Objective scores are deterministic; subjective scores are entered or approved.</w:t>
            </w:r>
          </w:p>
        </w:tc>
      </w:tr>
      <w:tr>
        <w:trPr>
          <w:cantSplit w:val="true"/>
        </w:trPr>
        <w:tc>
          <w:tcPr>
            <w:tcW w:type="dxa" w:w="5112"/>
            <w:vAlign w:val="center"/>
          </w:tcPr>
          <w:p>
            <w:r>
              <w:t>Results Published</w:t>
            </w:r>
          </w:p>
        </w:tc>
        <w:tc>
          <w:tcPr>
            <w:tcW w:type="dxa" w:w="5112"/>
            <w:vAlign w:val="center"/>
          </w:tcPr>
          <w:p>
            <w:r>
              <w:t>Students see the information allowed by school settings.</w:t>
            </w:r>
          </w:p>
        </w:tc>
      </w:tr>
      <w:tr>
        <w:trPr>
          <w:cantSplit w:val="true"/>
        </w:trPr>
        <w:tc>
          <w:tcPr>
            <w:tcW w:type="dxa" w:w="5112"/>
            <w:vAlign w:val="center"/>
          </w:tcPr>
          <w:p>
            <w:r>
              <w:t>Corrected</w:t>
            </w:r>
          </w:p>
        </w:tc>
        <w:tc>
          <w:tcPr>
            <w:tcW w:type="dxa" w:w="5112"/>
            <w:vAlign w:val="center"/>
          </w:tcPr>
          <w:p>
            <w:r>
              <w:t>Any official change is represented through an auditable correction record.</w:t>
            </w:r>
          </w:p>
        </w:tc>
      </w:tr>
    </w:tbl>
    <w:p>
      <w:pPr>
        <w:pStyle w:val="Heading1"/>
      </w:pPr>
      <w:r>
        <w:t>11. Student Assessment Experience</w:t>
      </w:r>
    </w:p>
    <w:p>
      <w:pPr>
        <w:pStyle w:val="ListBullet"/>
      </w:pPr>
      <w:r>
        <w:t>One question per screen for the current release.</w:t>
      </w:r>
    </w:p>
    <w:p>
      <w:pPr>
        <w:pStyle w:val="ListBullet"/>
      </w:pPr>
      <w:r>
        <w:t>Same interaction model across phone, tablet and desktop.</w:t>
      </w:r>
    </w:p>
    <w:p>
      <w:pPr>
        <w:pStyle w:val="ListBullet"/>
      </w:pPr>
      <w:r>
        <w:t>Minimal distraction during active assessment.</w:t>
      </w:r>
    </w:p>
    <w:p>
      <w:pPr>
        <w:pStyle w:val="ListBullet"/>
      </w:pPr>
      <w:r>
        <w:t>Timer displayed from server-derived start/expiry values.</w:t>
      </w:r>
    </w:p>
    <w:p>
      <w:pPr>
        <w:pStyle w:val="ListBullet"/>
      </w:pPr>
      <w:r>
        <w:t>Browser countdown is only a presentation of server-authoritative state.</w:t>
      </w:r>
    </w:p>
    <w:p>
      <w:pPr>
        <w:pStyle w:val="ListBullet"/>
      </w:pPr>
      <w:r>
        <w:t>Do not write a timer value to the server every second.</w:t>
      </w:r>
    </w:p>
    <w:p>
      <w:pPr>
        <w:pStyle w:val="ListBullet"/>
      </w:pPr>
      <w:r>
        <w:t>Answers should be resilient to normal network interruption through client state/autosave and recovery.</w:t>
      </w:r>
    </w:p>
    <w:p>
      <w:pPr>
        <w:pStyle w:val="ListBullet"/>
      </w:pPr>
      <w:r>
        <w:t>Correct answers are not exposed before the school's publication/marking policy permits them.</w:t>
      </w:r>
    </w:p>
    <w:p>
      <w:pPr>
        <w:pStyle w:val="ListBullet"/>
      </w:pPr>
      <w:r>
        <w:t>Score visibility is configurable at school level.</w:t>
      </w:r>
    </w:p>
    <w:p>
      <w:pPr>
        <w:pStyle w:val="Heading1"/>
      </w:pPr>
      <w:r>
        <w:t>12. Attempts, Timing and Submission</w:t>
      </w:r>
    </w:p>
    <w:p>
      <w:pPr>
        <w:pStyle w:val="ListBullet"/>
      </w:pPr>
      <w:r>
        <w:t>Attempt limits are configurable per assessment.</w:t>
      </w:r>
    </w:p>
    <w:p>
      <w:pPr>
        <w:pStyle w:val="ListBullet"/>
      </w:pPr>
      <w:r>
        <w:t>The system records each attempt independently.</w:t>
      </w:r>
    </w:p>
    <w:p>
      <w:pPr>
        <w:pStyle w:val="ListBullet"/>
      </w:pPr>
      <w:r>
        <w:t>Assessment start time, expiry time and submission state are persisted server-side.</w:t>
      </w:r>
    </w:p>
    <w:p>
      <w:pPr>
        <w:pStyle w:val="ListBullet"/>
      </w:pPr>
      <w:r>
        <w:t>At expiry, the server remains authoritative even if the browser clock differs.</w:t>
      </w:r>
    </w:p>
    <w:p>
      <w:pPr>
        <w:pStyle w:val="ListBullet"/>
      </w:pPr>
      <w:r>
        <w:t>The system prevents indefinite continuation after expiry.</w:t>
      </w:r>
    </w:p>
    <w:p>
      <w:pPr>
        <w:pStyle w:val="ListBullet"/>
      </w:pPr>
      <w:r>
        <w:t>Teacher permissions to reopen/cancel/override an assessment should be explicit and audited.</w:t>
      </w:r>
    </w:p>
    <w:p>
      <w:pPr>
        <w:pStyle w:val="Heading1"/>
      </w:pPr>
      <w:r>
        <w:t>13. Marking and Results</w:t>
      </w:r>
    </w:p>
    <w:p>
      <w:pPr>
        <w:pStyle w:val="Heading2"/>
      </w:pPr>
      <w:r>
        <w:t>13.1 Objective Questions</w:t>
      </w:r>
    </w:p>
    <w:p>
      <w:r>
        <w:t>MCQ/True-False and other deterministic objective items are marked by application logic. AI Credits are not consumed for deterministic marking.</w:t>
      </w:r>
    </w:p>
    <w:p>
      <w:pPr>
        <w:pStyle w:val="Heading2"/>
      </w:pPr>
      <w:r>
        <w:t>13.2 Subjective/Theory Questions</w:t>
      </w:r>
    </w:p>
    <w:p>
      <w:pPr>
        <w:pStyle w:val="ListBullet"/>
      </w:pPr>
      <w:r>
        <w:t>Teacher can mark directly.</w:t>
      </w:r>
    </w:p>
    <w:p>
      <w:pPr>
        <w:pStyle w:val="ListBullet"/>
      </w:pPr>
      <w:r>
        <w:t>School may enable AI-assisted marking.</w:t>
      </w:r>
    </w:p>
    <w:p>
      <w:pPr>
        <w:pStyle w:val="ListBullet"/>
      </w:pPr>
      <w:r>
        <w:t>AI returns a suggested mark and supporting rationale/criteria where configured.</w:t>
      </w:r>
    </w:p>
    <w:p>
      <w:pPr>
        <w:pStyle w:val="ListBullet"/>
      </w:pPr>
      <w:r>
        <w:t>AI suggestion is never silently published as official.</w:t>
      </w:r>
    </w:p>
    <w:p>
      <w:pPr>
        <w:pStyle w:val="ListBullet"/>
      </w:pPr>
      <w:r>
        <w:t>Teacher can accept, change or reject the suggestion.</w:t>
      </w:r>
    </w:p>
    <w:p>
      <w:pPr>
        <w:pStyle w:val="ListBullet"/>
      </w:pPr>
      <w:r>
        <w:t>Official publication occurs through the teacher/school workflow.</w:t>
      </w:r>
    </w:p>
    <w:p>
      <w:pPr>
        <w:pStyle w:val="Heading2"/>
      </w:pPr>
      <w:r>
        <w:t>13.3 Corrections</w:t>
      </w:r>
    </w:p>
    <w:p>
      <w:r>
        <w:t>Any official result correction must capture original value, new value, reason, actor, timestamp and the affected assessment/question/result. Historical values must remain recoverable.</w:t>
      </w:r>
    </w:p>
    <w:p>
      <w:pPr>
        <w:pStyle w:val="Heading1"/>
      </w:pPr>
      <w:r>
        <w:t>14. Existing Codebase Reconciliation</w:t>
      </w:r>
    </w:p>
    <w:p>
      <w:r>
        <w:t>The read-only review found that the production codebase is more mature and broader than the original documentation, while several architectural assumptions in the documentation are not true in the running codebase.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tcPr>
          <w:p>
            <w:r>
              <w:t>Area</w:t>
            </w:r>
          </w:p>
        </w:tc>
        <w:tc>
          <w:tcPr>
            <w:tcW w:type="dxa" w:w="3408"/>
          </w:tcPr>
          <w:p>
            <w:r>
              <w:t>Current finding</w:t>
            </w:r>
          </w:p>
        </w:tc>
        <w:tc>
          <w:tcPr>
            <w:tcW w:type="dxa" w:w="3408"/>
          </w:tcPr>
          <w:p>
            <w:r>
              <w:t>Architecture consequence</w:t>
            </w:r>
          </w:p>
        </w:tc>
      </w:tr>
      <w:tr>
        <w:trPr>
          <w:cantSplit w:val="true"/>
        </w:trPr>
        <w:tc>
          <w:tcPr>
            <w:tcW w:type="dxa" w:w="3408"/>
            <w:vAlign w:val="center"/>
          </w:tcPr>
          <w:p>
            <w:r>
              <w:t>CBT</w:t>
            </w:r>
          </w:p>
        </w:tc>
        <w:tc>
          <w:tcPr>
            <w:tcW w:type="dxa" w:w="3408"/>
            <w:vAlign w:val="center"/>
          </w:tcPr>
          <w:p>
            <w:r>
              <w:t>Greenfield; the documented CBT entities do not exist.</w:t>
            </w:r>
          </w:p>
        </w:tc>
        <w:tc>
          <w:tcPr>
            <w:tcW w:type="dxa" w:w="3408"/>
            <w:vAlign w:val="center"/>
          </w:tcPr>
          <w:p>
            <w:r>
              <w:t>Build a new CBT domain without assuming existing assessment tables can be reused.</w:t>
            </w:r>
          </w:p>
        </w:tc>
      </w:tr>
      <w:tr>
        <w:trPr>
          <w:cantSplit w:val="true"/>
        </w:trPr>
        <w:tc>
          <w:tcPr>
            <w:tcW w:type="dxa" w:w="3408"/>
            <w:vAlign w:val="center"/>
          </w:tcPr>
          <w:p>
            <w:r>
              <w:t>Gradebook assessment tables</w:t>
            </w:r>
          </w:p>
        </w:tc>
        <w:tc>
          <w:tcPr>
            <w:tcW w:type="dxa" w:w="3408"/>
            <w:vAlign w:val="center"/>
          </w:tcPr>
          <w:p>
            <w:r>
              <w:t>Existing assessment/assessment_components/assessment_templates belong to gradebook score components.</w:t>
            </w:r>
          </w:p>
        </w:tc>
        <w:tc>
          <w:tcPr>
            <w:tcW w:type="dxa" w:w="3408"/>
            <w:vAlign w:val="center"/>
          </w:tcPr>
          <w:p>
            <w:r>
              <w:t>Do not reuse those names for CBT.</w:t>
            </w:r>
          </w:p>
        </w:tc>
      </w:tr>
      <w:tr>
        <w:trPr>
          <w:cantSplit w:val="true"/>
        </w:trPr>
        <w:tc>
          <w:tcPr>
            <w:tcW w:type="dxa" w:w="3408"/>
            <w:vAlign w:val="center"/>
          </w:tcPr>
          <w:p>
            <w:r>
              <w:t>Tenant isolation</w:t>
            </w:r>
          </w:p>
        </w:tc>
        <w:tc>
          <w:tcPr>
            <w:tcW w:type="dxa" w:w="3408"/>
            <w:vAlign w:val="center"/>
          </w:tcPr>
          <w:p>
            <w:r>
              <w:t>Most API routes use service-role; RLS/JWT claims design is not active as documented.</w:t>
            </w:r>
          </w:p>
        </w:tc>
        <w:tc>
          <w:tcPr>
            <w:tcW w:type="dxa" w:w="3408"/>
            <w:vAlign w:val="center"/>
          </w:tcPr>
          <w:p>
            <w:r>
              <w:t>Harden isolation before trusting the platform with new cross-tenant data.</w:t>
            </w:r>
          </w:p>
        </w:tc>
      </w:tr>
      <w:tr>
        <w:trPr>
          <w:cantSplit w:val="true"/>
        </w:trPr>
        <w:tc>
          <w:tcPr>
            <w:tcW w:type="dxa" w:w="3408"/>
            <w:vAlign w:val="center"/>
          </w:tcPr>
          <w:p>
            <w:r>
              <w:t>Migrations</w:t>
            </w:r>
          </w:p>
        </w:tc>
        <w:tc>
          <w:tcPr>
            <w:tcW w:type="dxa" w:w="3408"/>
            <w:vAlign w:val="center"/>
          </w:tcPr>
          <w:p>
            <w:r>
              <w:t>Current migration ordering/lineages are not reproducible from scratch.</w:t>
            </w:r>
          </w:p>
        </w:tc>
        <w:tc>
          <w:tcPr>
            <w:tcW w:type="dxa" w:w="3408"/>
            <w:vAlign w:val="center"/>
          </w:tcPr>
          <w:p>
            <w:r>
              <w:t>Repair migration baseline before adding major new schema.</w:t>
            </w:r>
          </w:p>
        </w:tc>
      </w:tr>
      <w:tr>
        <w:trPr>
          <w:cantSplit w:val="true"/>
        </w:trPr>
        <w:tc>
          <w:tcPr>
            <w:tcW w:type="dxa" w:w="3408"/>
            <w:vAlign w:val="center"/>
          </w:tcPr>
          <w:p>
            <w:r>
              <w:t>Super Admin Copilot</w:t>
            </w:r>
          </w:p>
        </w:tc>
        <w:tc>
          <w:tcPr>
            <w:tcW w:type="dxa" w:w="3408"/>
            <w:vAlign w:val="center"/>
          </w:tcPr>
          <w:p>
            <w:r>
              <w:t>Existing, separate, DeepSeek-based, journaled and capable of controlled writes.</w:t>
            </w:r>
          </w:p>
        </w:tc>
        <w:tc>
          <w:tcPr>
            <w:tcW w:type="dxa" w:w="3408"/>
            <w:vAlign w:val="center"/>
          </w:tcPr>
          <w:p>
            <w:r>
              <w:t>Reuse its permission-boundary and journaling ideas; do not merge it with school AI.</w:t>
            </w:r>
          </w:p>
        </w:tc>
      </w:tr>
      <w:tr>
        <w:trPr>
          <w:cantSplit w:val="true"/>
        </w:trPr>
        <w:tc>
          <w:tcPr>
            <w:tcW w:type="dxa" w:w="3408"/>
            <w:vAlign w:val="center"/>
          </w:tcPr>
          <w:p>
            <w:r>
              <w:t>Teacher AI import</w:t>
            </w:r>
          </w:p>
        </w:tc>
        <w:tc>
          <w:tcPr>
            <w:tcW w:type="dxa" w:w="3408"/>
            <w:vAlign w:val="center"/>
          </w:tcPr>
          <w:p>
            <w:r>
              <w:t>Existing image-to-score OCR flow with human review and tenant checks.</w:t>
            </w:r>
          </w:p>
        </w:tc>
        <w:tc>
          <w:tcPr>
            <w:tcW w:type="dxa" w:w="3408"/>
            <w:vAlign w:val="center"/>
          </w:tcPr>
          <w:p>
            <w:r>
              <w:t>Reuse review patterns, but not the feature semantics; CBT needs image/PDF-to-question extraction.</w:t>
            </w:r>
          </w:p>
        </w:tc>
      </w:tr>
      <w:tr>
        <w:trPr>
          <w:cantSplit w:val="true"/>
        </w:trPr>
        <w:tc>
          <w:tcPr>
            <w:tcW w:type="dxa" w:w="3408"/>
            <w:vAlign w:val="center"/>
          </w:tcPr>
          <w:p>
            <w:r>
              <w:t>AI Credits</w:t>
            </w:r>
          </w:p>
        </w:tc>
        <w:tc>
          <w:tcPr>
            <w:tcW w:type="dxa" w:w="3408"/>
            <w:vAlign w:val="center"/>
          </w:tcPr>
          <w:p>
            <w:r>
              <w:t>Not present.</w:t>
            </w:r>
          </w:p>
        </w:tc>
        <w:tc>
          <w:tcPr>
            <w:tcW w:type="dxa" w:w="3408"/>
            <w:vAlign w:val="center"/>
          </w:tcPr>
          <w:p>
            <w:r>
              <w:t>Build a dedicated AI Credit domain; existing finance 'credits' are unrelated.</w:t>
            </w:r>
          </w:p>
        </w:tc>
      </w:tr>
      <w:tr>
        <w:trPr>
          <w:cantSplit w:val="true"/>
        </w:trPr>
        <w:tc>
          <w:tcPr>
            <w:tcW w:type="dxa" w:w="3408"/>
            <w:vAlign w:val="center"/>
          </w:tcPr>
          <w:p>
            <w:r>
              <w:t>AI Gateway</w:t>
            </w:r>
          </w:p>
        </w:tc>
        <w:tc>
          <w:tcPr>
            <w:tcW w:type="dxa" w:w="3408"/>
            <w:vAlign w:val="center"/>
          </w:tcPr>
          <w:p>
            <w:r>
              <w:t>Not present; provider selection is hardcoded.</w:t>
            </w:r>
          </w:p>
        </w:tc>
        <w:tc>
          <w:tcPr>
            <w:tcW w:type="dxa" w:w="3408"/>
            <w:vAlign w:val="center"/>
          </w:tcPr>
          <w:p>
            <w:r>
              <w:t>Introduce capability-based gateway and provider adapters.</w:t>
            </w:r>
          </w:p>
        </w:tc>
      </w:tr>
      <w:tr>
        <w:trPr>
          <w:cantSplit w:val="true"/>
        </w:trPr>
        <w:tc>
          <w:tcPr>
            <w:tcW w:type="dxa" w:w="3408"/>
            <w:vAlign w:val="center"/>
          </w:tcPr>
          <w:p>
            <w:r>
              <w:t>Prompt-injection layer</w:t>
            </w:r>
          </w:p>
        </w:tc>
        <w:tc>
          <w:tcPr>
            <w:tcW w:type="dxa" w:w="3408"/>
            <w:vAlign w:val="center"/>
          </w:tcPr>
          <w:p>
            <w:r>
              <w:t>Not present.</w:t>
            </w:r>
          </w:p>
        </w:tc>
        <w:tc>
          <w:tcPr>
            <w:tcW w:type="dxa" w:w="3408"/>
            <w:vAlign w:val="center"/>
          </w:tcPr>
          <w:p>
            <w:r>
              <w:t>Add content/command separation and validation before production AI operations.</w:t>
            </w:r>
          </w:p>
        </w:tc>
      </w:tr>
      <w:tr>
        <w:trPr>
          <w:cantSplit w:val="true"/>
        </w:trPr>
        <w:tc>
          <w:tcPr>
            <w:tcW w:type="dxa" w:w="3408"/>
            <w:vAlign w:val="center"/>
          </w:tcPr>
          <w:p>
            <w:r>
              <w:t>Sensitive uploads</w:t>
            </w:r>
          </w:p>
        </w:tc>
        <w:tc>
          <w:tcPr>
            <w:tcW w:type="dxa" w:w="3408"/>
            <w:vAlign w:val="center"/>
          </w:tcPr>
          <w:p>
            <w:r>
              <w:t>Exam images are exposed through a public bucket in the existing AI import flow.</w:t>
            </w:r>
          </w:p>
        </w:tc>
        <w:tc>
          <w:tcPr>
            <w:tcW w:type="dxa" w:w="3408"/>
            <w:vAlign w:val="center"/>
          </w:tcPr>
          <w:p>
            <w:r>
              <w:t>Move sensitive assessment/exam media to controlled private storage.</w:t>
            </w:r>
          </w:p>
        </w:tc>
      </w:tr>
    </w:tbl>
    <w:p>
      <w:pPr>
        <w:pStyle w:val="Heading1"/>
      </w:pPr>
      <w:r>
        <w:t>15. Foundation Problems That Must Be Addressed Before CBT</w:t>
      </w:r>
    </w:p>
    <w:p>
      <w:r>
        <w:t>The existing platform should not be treated as a clean foundation. The following are explicit entry gates for the CBT implementation because they affect security, deployability or data integrity.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tcPr>
          <w:p>
            <w:r>
              <w:t>Gate</w:t>
            </w:r>
          </w:p>
        </w:tc>
        <w:tc>
          <w:tcPr>
            <w:tcW w:type="dxa" w:w="3408"/>
          </w:tcPr>
          <w:p>
            <w:r>
              <w:t>Foundation</w:t>
            </w:r>
          </w:p>
        </w:tc>
        <w:tc>
          <w:tcPr>
            <w:tcW w:type="dxa" w:w="3408"/>
          </w:tcPr>
          <w:p>
            <w:r>
              <w:t>Exit condition</w:t>
            </w:r>
          </w:p>
        </w:tc>
      </w:tr>
      <w:tr>
        <w:trPr>
          <w:cantSplit w:val="true"/>
        </w:trPr>
        <w:tc>
          <w:tcPr>
            <w:tcW w:type="dxa" w:w="3408"/>
            <w:vAlign w:val="center"/>
          </w:tcPr>
          <w:p>
            <w:r>
              <w:t>F1</w:t>
            </w:r>
          </w:p>
        </w:tc>
        <w:tc>
          <w:tcPr>
            <w:tcW w:type="dxa" w:w="3408"/>
            <w:vAlign w:val="center"/>
          </w:tcPr>
          <w:p>
            <w:r>
              <w:t>Migration reproducibility</w:t>
            </w:r>
          </w:p>
        </w:tc>
        <w:tc>
          <w:tcPr>
            <w:tcW w:type="dxa" w:w="3408"/>
            <w:vAlign w:val="center"/>
          </w:tcPr>
          <w:p>
            <w:r>
              <w:t>Establish one canonical migration path; resolve ordering, duplicate prefixes and incompatible lineages; prove clean build and safe upgrade.</w:t>
            </w:r>
          </w:p>
        </w:tc>
      </w:tr>
      <w:tr>
        <w:trPr>
          <w:cantSplit w:val="true"/>
        </w:trPr>
        <w:tc>
          <w:tcPr>
            <w:tcW w:type="dxa" w:w="3408"/>
            <w:vAlign w:val="center"/>
          </w:tcPr>
          <w:p>
            <w:r>
              <w:t>F2</w:t>
            </w:r>
          </w:p>
        </w:tc>
        <w:tc>
          <w:tcPr>
            <w:tcW w:type="dxa" w:w="3408"/>
            <w:vAlign w:val="center"/>
          </w:tcPr>
          <w:p>
            <w:r>
              <w:t>Tenant isolation</w:t>
            </w:r>
          </w:p>
        </w:tc>
        <w:tc>
          <w:tcPr>
            <w:tcW w:type="dxa" w:w="3408"/>
            <w:vAlign w:val="center"/>
          </w:tcPr>
          <w:p>
            <w:r>
              <w:t>Close cross-school impersonation pivot; enforce server-side tenant context; make database isolation real and independently testable.</w:t>
            </w:r>
          </w:p>
        </w:tc>
      </w:tr>
      <w:tr>
        <w:trPr>
          <w:cantSplit w:val="true"/>
        </w:trPr>
        <w:tc>
          <w:tcPr>
            <w:tcW w:type="dxa" w:w="3408"/>
            <w:vAlign w:val="center"/>
          </w:tcPr>
          <w:p>
            <w:r>
              <w:t>F3</w:t>
            </w:r>
          </w:p>
        </w:tc>
        <w:tc>
          <w:tcPr>
            <w:tcW w:type="dxa" w:w="3408"/>
            <w:vAlign w:val="center"/>
          </w:tcPr>
          <w:p>
            <w:r>
              <w:t>Service-role containment</w:t>
            </w:r>
          </w:p>
        </w:tc>
        <w:tc>
          <w:tcPr>
            <w:tcW w:type="dxa" w:w="3408"/>
            <w:vAlign w:val="center"/>
          </w:tcPr>
          <w:p>
            <w:r>
              <w:t>Reduce broad service-role use in school-facing data paths where database-level isolation is expected.</w:t>
            </w:r>
          </w:p>
        </w:tc>
      </w:tr>
      <w:tr>
        <w:trPr>
          <w:cantSplit w:val="true"/>
        </w:trPr>
        <w:tc>
          <w:tcPr>
            <w:tcW w:type="dxa" w:w="3408"/>
            <w:vAlign w:val="center"/>
          </w:tcPr>
          <w:p>
            <w:r>
              <w:t>F4</w:t>
            </w:r>
          </w:p>
        </w:tc>
        <w:tc>
          <w:tcPr>
            <w:tcW w:type="dxa" w:w="3408"/>
            <w:vAlign w:val="center"/>
          </w:tcPr>
          <w:p>
            <w:r>
              <w:t>Sensitive media security</w:t>
            </w:r>
          </w:p>
        </w:tc>
        <w:tc>
          <w:tcPr>
            <w:tcW w:type="dxa" w:w="3408"/>
            <w:vAlign w:val="center"/>
          </w:tcPr>
          <w:p>
            <w:r>
              <w:t>Remove sensitive exam/student media from public exposure.</w:t>
            </w:r>
          </w:p>
        </w:tc>
      </w:tr>
      <w:tr>
        <w:trPr>
          <w:cantSplit w:val="true"/>
        </w:trPr>
        <w:tc>
          <w:tcPr>
            <w:tcW w:type="dxa" w:w="3408"/>
            <w:vAlign w:val="center"/>
          </w:tcPr>
          <w:p>
            <w:r>
              <w:t>F5</w:t>
            </w:r>
          </w:p>
        </w:tc>
        <w:tc>
          <w:tcPr>
            <w:tcW w:type="dxa" w:w="3408"/>
            <w:vAlign w:val="center"/>
          </w:tcPr>
          <w:p>
            <w:r>
              <w:t>CBT naming boundary</w:t>
            </w:r>
          </w:p>
        </w:tc>
        <w:tc>
          <w:tcPr>
            <w:tcW w:type="dxa" w:w="3408"/>
            <w:vAlign w:val="center"/>
          </w:tcPr>
          <w:p>
            <w:r>
              <w:t>Reserve separate CBT entity names from existing gradebook assessment entities.</w:t>
            </w:r>
          </w:p>
        </w:tc>
      </w:tr>
      <w:tr>
        <w:trPr>
          <w:cantSplit w:val="true"/>
        </w:trPr>
        <w:tc>
          <w:tcPr>
            <w:tcW w:type="dxa" w:w="3408"/>
            <w:vAlign w:val="center"/>
          </w:tcPr>
          <w:p>
            <w:r>
              <w:t>F6</w:t>
            </w:r>
          </w:p>
        </w:tc>
        <w:tc>
          <w:tcPr>
            <w:tcW w:type="dxa" w:w="3408"/>
            <w:vAlign w:val="center"/>
          </w:tcPr>
          <w:p>
            <w:r>
              <w:t>Result integrity boundary</w:t>
            </w:r>
          </w:p>
        </w:tc>
        <w:tc>
          <w:tcPr>
            <w:tcW w:type="dxa" w:w="3408"/>
            <w:vAlign w:val="center"/>
          </w:tcPr>
          <w:p>
            <w:r>
              <w:t>Stabilize shared result/snapshot behavior before reusing it for official CBT publication.</w:t>
            </w:r>
          </w:p>
        </w:tc>
      </w:tr>
    </w:tbl>
    <w:p>
      <w:r>
        <w:t>Not every reported problem must block CBT. For example, unrelated finance or report-card improvements may be handled as separate workstreams unless CBT depends on them. The rule is that a defect blocks CBT when it creates a security, migration, shared-result-integrity or data-exposure risk for the new module.</w:t>
      </w:r>
    </w:p>
    <w:p>
      <w:pPr>
        <w:pStyle w:val="Heading1"/>
      </w:pPr>
      <w:r>
        <w:t>16. Tenant Isolation Architecture</w:t>
      </w:r>
    </w:p>
    <w:p>
      <w:r>
        <w:t>The original specification required AI and application data to remain inside the requesting school. The current platform does not provide sufficient database-level enforcement for that requirement. The reconciled architecture therefore uses defense in depth.</w:t>
      </w:r>
    </w:p>
    <w:p>
      <w:pPr>
        <w:pStyle w:val="ListBullet"/>
      </w:pPr>
      <w:r>
        <w:t>The authenticated session determines the user's school/tenant context.</w:t>
      </w:r>
    </w:p>
    <w:p>
      <w:pPr>
        <w:pStyle w:val="ListBullet"/>
      </w:pPr>
      <w:r>
        <w:t>Client input cannot choose a different school as the authority for a school-scoped operation.</w:t>
      </w:r>
    </w:p>
    <w:p>
      <w:pPr>
        <w:pStyle w:val="ListBullet"/>
      </w:pPr>
      <w:r>
        <w:t>Application authorization validates role and requested operation.</w:t>
      </w:r>
    </w:p>
    <w:p>
      <w:pPr>
        <w:pStyle w:val="ListBullet"/>
      </w:pPr>
      <w:r>
        <w:t>Database-level RLS is restored/repaired as an independent safety boundary rather than relying only on route conventions.</w:t>
      </w:r>
    </w:p>
    <w:p>
      <w:pPr>
        <w:pStyle w:val="ListBullet"/>
      </w:pPr>
      <w:r>
        <w:t>Service-role clients are reserved for explicitly authorized server-side operations.</w:t>
      </w:r>
    </w:p>
    <w:p>
      <w:pPr>
        <w:pStyle w:val="ListBullet"/>
      </w:pPr>
      <w:r>
        <w:t>Tenant-isolation tests must include negative tests: a user from School A must fail when attempting to access School B's data, even if a request is manipulated.</w:t>
      </w:r>
    </w:p>
    <w:p>
      <w:pPr>
        <w:pStyle w:val="ListBullet"/>
      </w:pPr>
      <w:r>
        <w:t>Super Admin impersonation is treated as a special elevated workflow with explicit, auditable boundaries.</w:t>
      </w:r>
    </w:p>
    <w:p>
      <w:pPr>
        <w:pStyle w:val="Heading1"/>
      </w:pPr>
      <w:r>
        <w:t>17. RLS Position</w:t>
      </w:r>
    </w:p>
    <w:p>
      <w:r>
        <w:t>Recommended architecture: reactivate a real JWT/tenant-claims and RLS model, but do not simply uncomment the existing hook and assume the problem is solved. The tenancy model, policies, table ownership fields and service-role usage need to be audited and repaired together.</w:t>
      </w:r>
    </w:p>
    <w:p>
      <w:r>
        <w:t>Application-level authorization remains mandatory. RLS is the second boundary, not the only boundary.</w:t>
      </w:r>
    </w:p>
    <w:p>
      <w:pPr>
        <w:pStyle w:val="Heading1"/>
      </w:pPr>
      <w:r>
        <w:t>18. AI Platform Architecture</w:t>
      </w:r>
    </w:p>
    <w:p>
      <w:r>
        <w:t>SchoolEd must not hard-code every feature directly to DeepSeek. Features call an AI capability through an AI Gateway.</w:t>
      </w:r>
    </w:p>
    <w:p>
      <w:pPr>
        <w:jc w:val="center"/>
      </w:pPr>
      <w:r>
        <w:rPr>
          <w:b/>
        </w:rPr>
        <w:t>SchoolEd Feature → AI Gateway → Policy/Credit/Security → Provider Router → Provider Adapter → Model</w:t>
      </w:r>
    </w:p>
    <w:p>
      <w:pPr>
        <w:pStyle w:val="ListBullet"/>
      </w:pPr>
      <w:r>
        <w:t>Capability-based API: text generation, vision extraction, speech-to-text, question generation, question editing, subjective marking and future capabilities.</w:t>
      </w:r>
    </w:p>
    <w:p>
      <w:pPr>
        <w:pStyle w:val="ListBullet"/>
      </w:pPr>
      <w:r>
        <w:t>Provider adapters normalize provider-specific inputs/outputs to SchoolEd contracts.</w:t>
      </w:r>
    </w:p>
    <w:p>
      <w:pPr>
        <w:pStyle w:val="ListBullet"/>
      </w:pPr>
      <w:r>
        <w:t>Provider/model choice is configuration, not feature code.</w:t>
      </w:r>
    </w:p>
    <w:p>
      <w:pPr>
        <w:pStyle w:val="ListBullet"/>
      </w:pPr>
      <w:r>
        <w:t>DeepSeek is the initial active provider.</w:t>
      </w:r>
    </w:p>
    <w:p>
      <w:pPr>
        <w:pStyle w:val="ListBullet"/>
      </w:pPr>
      <w:r>
        <w:t>Future providers can be added through adapters and configuration rather than rewriting feature logic.</w:t>
      </w:r>
    </w:p>
    <w:p>
      <w:pPr>
        <w:pStyle w:val="Heading1"/>
      </w:pPr>
      <w:r>
        <w:t>19. AI Provider Routing and Failover</w:t>
      </w:r>
    </w:p>
    <w:p>
      <w:r>
        <w:t>Fallback follows a finite, ordered chain:</w:t>
      </w:r>
    </w:p>
    <w:p>
      <w:pPr>
        <w:jc w:val="center"/>
      </w:pPr>
      <w:r>
        <w:rPr>
          <w:b/>
        </w:rPr>
        <w:t>Primary → Secondary → Tertiary → STOP</w:t>
      </w:r>
    </w:p>
    <w:p>
      <w:pPr>
        <w:pStyle w:val="ListBullet"/>
      </w:pPr>
      <w:r>
        <w:t>Super Admin controls provider priority and activation.</w:t>
      </w:r>
    </w:p>
    <w:p>
      <w:pPr>
        <w:pStyle w:val="ListBullet"/>
      </w:pPr>
      <w:r>
        <w:t>The router only falls back for eligible provider failures such as timeout, rate limit, quota exhaustion or provider unavailability.</w:t>
      </w:r>
    </w:p>
    <w:p>
      <w:pPr>
        <w:pStyle w:val="ListBullet"/>
      </w:pPr>
      <w:r>
        <w:t>Invalid user input, invalid application authorization or deterministic validation failures should not cause endless provider retries.</w:t>
      </w:r>
    </w:p>
    <w:p>
      <w:pPr>
        <w:pStyle w:val="ListBullet"/>
      </w:pPr>
      <w:r>
        <w:t>Each provider attempt has a timeout.</w:t>
      </w:r>
    </w:p>
    <w:p>
      <w:pPr>
        <w:pStyle w:val="ListBullet"/>
      </w:pPr>
      <w:r>
        <w:t>The request has a global attempt/time budget.</w:t>
      </w:r>
    </w:p>
    <w:p>
      <w:pPr>
        <w:pStyle w:val="ListBullet"/>
      </w:pPr>
      <w:r>
        <w:t>After all configured providers are exhausted, the system stops and returns a clear report.</w:t>
      </w:r>
    </w:p>
    <w:p>
      <w:pPr>
        <w:pStyle w:val="ListBullet"/>
      </w:pPr>
      <w:r>
        <w:t>Fallback events are logged for monitoring and cost analysis.</w:t>
      </w:r>
    </w:p>
    <w:p>
      <w:pPr>
        <w:pStyle w:val="Heading1"/>
      </w:pPr>
      <w:r>
        <w:t>20. AI Credits Architecture</w:t>
      </w:r>
    </w:p>
    <w:p>
      <w:r>
        <w:t>AI Credits are a school-owned metering and commercial layer. They are not the same as provider tokens and are not the same as the existing finance module's fee-credit concepts.</w:t>
      </w:r>
    </w:p>
    <w:p>
      <w:pPr>
        <w:pStyle w:val="ListBullet"/>
      </w:pPr>
      <w:r>
        <w:t>School wallet.</w:t>
      </w:r>
    </w:p>
    <w:p>
      <w:pPr>
        <w:pStyle w:val="ListBullet"/>
      </w:pPr>
      <w:r>
        <w:t>Credit ledger.</w:t>
      </w:r>
    </w:p>
    <w:p>
      <w:pPr>
        <w:pStyle w:val="ListBullet"/>
      </w:pPr>
      <w:r>
        <w:t>Subscription allocation.</w:t>
      </w:r>
    </w:p>
    <w:p>
      <w:pPr>
        <w:pStyle w:val="ListBullet"/>
      </w:pPr>
      <w:r>
        <w:t>Super Admin promotional grant.</w:t>
      </w:r>
    </w:p>
    <w:p>
      <w:pPr>
        <w:pStyle w:val="ListBullet"/>
      </w:pPr>
      <w:r>
        <w:t>Future purchase.</w:t>
      </w:r>
    </w:p>
    <w:p>
      <w:pPr>
        <w:pStyle w:val="ListBullet"/>
      </w:pPr>
      <w:r>
        <w:t>Expiry for promotional allocations according to configured rules.</w:t>
      </w:r>
    </w:p>
    <w:p>
      <w:pPr>
        <w:pStyle w:val="ListBullet"/>
      </w:pPr>
      <w:r>
        <w:t>Balance visibility.</w:t>
      </w:r>
    </w:p>
    <w:p>
      <w:pPr>
        <w:pStyle w:val="ListBullet"/>
      </w:pPr>
      <w:r>
        <w:t>Pre-operation estimated cost where feasible.</w:t>
      </w:r>
    </w:p>
    <w:p>
      <w:pPr>
        <w:pStyle w:val="ListBullet"/>
      </w:pPr>
      <w:r>
        <w:t>Credit reservation before execution for costly operations where necessary.</w:t>
      </w:r>
    </w:p>
    <w:p>
      <w:pPr>
        <w:pStyle w:val="ListBullet"/>
      </w:pPr>
      <w:r>
        <w:t>Refund/release when an operation fails after reservation.</w:t>
      </w:r>
    </w:p>
    <w:p>
      <w:pPr>
        <w:pStyle w:val="ListBullet"/>
      </w:pPr>
      <w:r>
        <w:t>Provider token/image/audio usage stored separately for platform economics.</w:t>
      </w:r>
    </w:p>
    <w:p>
      <w:pPr>
        <w:pStyle w:val="Heading1"/>
      </w:pPr>
      <w:r>
        <w:t>21. AI Operations and Credit Policy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tcPr>
          <w:p>
            <w:r>
              <w:t>Operation</w:t>
            </w:r>
          </w:p>
        </w:tc>
        <w:tc>
          <w:tcPr>
            <w:tcW w:type="dxa" w:w="2556"/>
          </w:tcPr>
          <w:p>
            <w:r>
              <w:t>Uses AI</w:t>
            </w:r>
          </w:p>
        </w:tc>
        <w:tc>
          <w:tcPr>
            <w:tcW w:type="dxa" w:w="2556"/>
          </w:tcPr>
          <w:p>
            <w:r>
              <w:t>Uses AI Credits</w:t>
            </w:r>
          </w:p>
        </w:tc>
        <w:tc>
          <w:tcPr>
            <w:tcW w:type="dxa" w:w="2556"/>
          </w:tcPr>
          <w:p>
            <w:r>
              <w:t>Human/system approval</w:t>
            </w:r>
          </w:p>
        </w:tc>
      </w:tr>
      <w:tr>
        <w:trPr>
          <w:cantSplit w:val="true"/>
        </w:trPr>
        <w:tc>
          <w:tcPr>
            <w:tcW w:type="dxa" w:w="2556"/>
            <w:vAlign w:val="center"/>
          </w:tcPr>
          <w:p>
            <w:r>
              <w:t>Manual question creation</w:t>
            </w:r>
          </w:p>
        </w:tc>
        <w:tc>
          <w:tcPr>
            <w:tcW w:type="dxa" w:w="2556"/>
            <w:vAlign w:val="center"/>
          </w:tcPr>
          <w:p>
            <w:r>
              <w:t>No</w:t>
            </w:r>
          </w:p>
        </w:tc>
        <w:tc>
          <w:tcPr>
            <w:tcW w:type="dxa" w:w="2556"/>
            <w:vAlign w:val="center"/>
          </w:tcPr>
          <w:p>
            <w:r>
              <w:t>No</w:t>
            </w:r>
          </w:p>
        </w:tc>
        <w:tc>
          <w:tcPr>
            <w:tcW w:type="dxa" w:w="2556"/>
            <w:vAlign w:val="center"/>
          </w:tcPr>
          <w:p>
            <w:r>
              <w:t>Teacher</w:t>
            </w:r>
          </w:p>
        </w:tc>
      </w:tr>
      <w:tr>
        <w:trPr>
          <w:cantSplit w:val="true"/>
        </w:trPr>
        <w:tc>
          <w:tcPr>
            <w:tcW w:type="dxa" w:w="2556"/>
            <w:vAlign w:val="center"/>
          </w:tcPr>
          <w:p>
            <w:r>
              <w:t>Objective CBT marking</w:t>
            </w:r>
          </w:p>
        </w:tc>
        <w:tc>
          <w:tcPr>
            <w:tcW w:type="dxa" w:w="2556"/>
            <w:vAlign w:val="center"/>
          </w:tcPr>
          <w:p>
            <w:r>
              <w:t>No</w:t>
            </w:r>
          </w:p>
        </w:tc>
        <w:tc>
          <w:tcPr>
            <w:tcW w:type="dxa" w:w="2556"/>
            <w:vAlign w:val="center"/>
          </w:tcPr>
          <w:p>
            <w:r>
              <w:t>No</w:t>
            </w:r>
          </w:p>
        </w:tc>
        <w:tc>
          <w:tcPr>
            <w:tcW w:type="dxa" w:w="2556"/>
            <w:vAlign w:val="center"/>
          </w:tcPr>
          <w:p>
            <w:r>
              <w:t>System rules</w:t>
            </w:r>
          </w:p>
        </w:tc>
      </w:tr>
      <w:tr>
        <w:trPr>
          <w:cantSplit w:val="true"/>
        </w:trPr>
        <w:tc>
          <w:tcPr>
            <w:tcW w:type="dxa" w:w="2556"/>
            <w:vAlign w:val="center"/>
          </w:tcPr>
          <w:p>
            <w:r>
              <w:t>PDF → questions</w:t>
            </w:r>
          </w:p>
        </w:tc>
        <w:tc>
          <w:tcPr>
            <w:tcW w:type="dxa" w:w="2556"/>
            <w:vAlign w:val="center"/>
          </w:tcPr>
          <w:p>
            <w:r>
              <w:t>Yes</w:t>
            </w:r>
          </w:p>
        </w:tc>
        <w:tc>
          <w:tcPr>
            <w:tcW w:type="dxa" w:w="2556"/>
            <w:vAlign w:val="center"/>
          </w:tcPr>
          <w:p>
            <w:r>
              <w:t>Yes</w:t>
            </w:r>
          </w:p>
        </w:tc>
        <w:tc>
          <w:tcPr>
            <w:tcW w:type="dxa" w:w="2556"/>
            <w:vAlign w:val="center"/>
          </w:tcPr>
          <w:p>
            <w:r>
              <w:t>Teacher review</w:t>
            </w:r>
          </w:p>
        </w:tc>
      </w:tr>
      <w:tr>
        <w:trPr>
          <w:cantSplit w:val="true"/>
        </w:trPr>
        <w:tc>
          <w:tcPr>
            <w:tcW w:type="dxa" w:w="2556"/>
            <w:vAlign w:val="center"/>
          </w:tcPr>
          <w:p>
            <w:r>
              <w:t>Image → questions</w:t>
            </w:r>
          </w:p>
        </w:tc>
        <w:tc>
          <w:tcPr>
            <w:tcW w:type="dxa" w:w="2556"/>
            <w:vAlign w:val="center"/>
          </w:tcPr>
          <w:p>
            <w:r>
              <w:t>Yes</w:t>
            </w:r>
          </w:p>
        </w:tc>
        <w:tc>
          <w:tcPr>
            <w:tcW w:type="dxa" w:w="2556"/>
            <w:vAlign w:val="center"/>
          </w:tcPr>
          <w:p>
            <w:r>
              <w:t>Yes</w:t>
            </w:r>
          </w:p>
        </w:tc>
        <w:tc>
          <w:tcPr>
            <w:tcW w:type="dxa" w:w="2556"/>
            <w:vAlign w:val="center"/>
          </w:tcPr>
          <w:p>
            <w:r>
              <w:t>Teacher review</w:t>
            </w:r>
          </w:p>
        </w:tc>
      </w:tr>
      <w:tr>
        <w:trPr>
          <w:cantSplit w:val="true"/>
        </w:trPr>
        <w:tc>
          <w:tcPr>
            <w:tcW w:type="dxa" w:w="2556"/>
            <w:vAlign w:val="center"/>
          </w:tcPr>
          <w:p>
            <w:r>
              <w:t>Voice → text</w:t>
            </w:r>
          </w:p>
        </w:tc>
        <w:tc>
          <w:tcPr>
            <w:tcW w:type="dxa" w:w="2556"/>
            <w:vAlign w:val="center"/>
          </w:tcPr>
          <w:p>
            <w:r>
              <w:t>Yes/service</w:t>
            </w:r>
          </w:p>
        </w:tc>
        <w:tc>
          <w:tcPr>
            <w:tcW w:type="dxa" w:w="2556"/>
            <w:vAlign w:val="center"/>
          </w:tcPr>
          <w:p>
            <w:r>
              <w:t>Yes when billed as AI usage</w:t>
            </w:r>
          </w:p>
        </w:tc>
        <w:tc>
          <w:tcPr>
            <w:tcW w:type="dxa" w:w="2556"/>
            <w:vAlign w:val="center"/>
          </w:tcPr>
          <w:p>
            <w:r>
              <w:t>Teacher</w:t>
            </w:r>
          </w:p>
        </w:tc>
      </w:tr>
      <w:tr>
        <w:trPr>
          <w:cantSplit w:val="true"/>
        </w:trPr>
        <w:tc>
          <w:tcPr>
            <w:tcW w:type="dxa" w:w="2556"/>
            <w:vAlign w:val="center"/>
          </w:tcPr>
          <w:p>
            <w:r>
              <w:t>Text → questions</w:t>
            </w:r>
          </w:p>
        </w:tc>
        <w:tc>
          <w:tcPr>
            <w:tcW w:type="dxa" w:w="2556"/>
            <w:vAlign w:val="center"/>
          </w:tcPr>
          <w:p>
            <w:r>
              <w:t>Yes</w:t>
            </w:r>
          </w:p>
        </w:tc>
        <w:tc>
          <w:tcPr>
            <w:tcW w:type="dxa" w:w="2556"/>
            <w:vAlign w:val="center"/>
          </w:tcPr>
          <w:p>
            <w:r>
              <w:t>Yes</w:t>
            </w:r>
          </w:p>
        </w:tc>
        <w:tc>
          <w:tcPr>
            <w:tcW w:type="dxa" w:w="2556"/>
            <w:vAlign w:val="center"/>
          </w:tcPr>
          <w:p>
            <w:r>
              <w:t>Teacher review</w:t>
            </w:r>
          </w:p>
        </w:tc>
      </w:tr>
      <w:tr>
        <w:trPr>
          <w:cantSplit w:val="true"/>
        </w:trPr>
        <w:tc>
          <w:tcPr>
            <w:tcW w:type="dxa" w:w="2556"/>
            <w:vAlign w:val="center"/>
          </w:tcPr>
          <w:p>
            <w:r>
              <w:t>Modify question with AI</w:t>
            </w:r>
          </w:p>
        </w:tc>
        <w:tc>
          <w:tcPr>
            <w:tcW w:type="dxa" w:w="2556"/>
            <w:vAlign w:val="center"/>
          </w:tcPr>
          <w:p>
            <w:r>
              <w:t>Yes</w:t>
            </w:r>
          </w:p>
        </w:tc>
        <w:tc>
          <w:tcPr>
            <w:tcW w:type="dxa" w:w="2556"/>
            <w:vAlign w:val="center"/>
          </w:tcPr>
          <w:p>
            <w:r>
              <w:t>Yes</w:t>
            </w:r>
          </w:p>
        </w:tc>
        <w:tc>
          <w:tcPr>
            <w:tcW w:type="dxa" w:w="2556"/>
            <w:vAlign w:val="center"/>
          </w:tcPr>
          <w:p>
            <w:r>
              <w:t>Teacher review</w:t>
            </w:r>
          </w:p>
        </w:tc>
      </w:tr>
      <w:tr>
        <w:trPr>
          <w:cantSplit w:val="true"/>
        </w:trPr>
        <w:tc>
          <w:tcPr>
            <w:tcW w:type="dxa" w:w="2556"/>
            <w:vAlign w:val="center"/>
          </w:tcPr>
          <w:p>
            <w:r>
              <w:t>Subjective AI marking</w:t>
            </w:r>
          </w:p>
        </w:tc>
        <w:tc>
          <w:tcPr>
            <w:tcW w:type="dxa" w:w="2556"/>
            <w:vAlign w:val="center"/>
          </w:tcPr>
          <w:p>
            <w:r>
              <w:t>Yes</w:t>
            </w:r>
          </w:p>
        </w:tc>
        <w:tc>
          <w:tcPr>
            <w:tcW w:type="dxa" w:w="2556"/>
            <w:vAlign w:val="center"/>
          </w:tcPr>
          <w:p>
            <w:r>
              <w:t>Yes</w:t>
            </w:r>
          </w:p>
        </w:tc>
        <w:tc>
          <w:tcPr>
            <w:tcW w:type="dxa" w:w="2556"/>
            <w:vAlign w:val="center"/>
          </w:tcPr>
          <w:p>
            <w:r>
              <w:t>Teacher approval before official publication</w:t>
            </w:r>
          </w:p>
        </w:tc>
      </w:tr>
      <w:tr>
        <w:trPr>
          <w:cantSplit w:val="true"/>
        </w:trPr>
        <w:tc>
          <w:tcPr>
            <w:tcW w:type="dxa" w:w="2556"/>
            <w:vAlign w:val="center"/>
          </w:tcPr>
          <w:p>
            <w:r>
              <w:t>Future AI tutor</w:t>
            </w:r>
          </w:p>
        </w:tc>
        <w:tc>
          <w:tcPr>
            <w:tcW w:type="dxa" w:w="2556"/>
            <w:vAlign w:val="center"/>
          </w:tcPr>
          <w:p>
            <w:r>
              <w:t>Future</w:t>
            </w:r>
          </w:p>
        </w:tc>
        <w:tc>
          <w:tcPr>
            <w:tcW w:type="dxa" w:w="2556"/>
            <w:vAlign w:val="center"/>
          </w:tcPr>
          <w:p>
            <w:r>
              <w:t>Future</w:t>
            </w:r>
          </w:p>
        </w:tc>
        <w:tc>
          <w:tcPr>
            <w:tcW w:type="dxa" w:w="2556"/>
            <w:vAlign w:val="center"/>
          </w:tcPr>
          <w:p>
            <w:r>
              <w:t>Future policy</w:t>
            </w:r>
          </w:p>
        </w:tc>
      </w:tr>
      <w:tr>
        <w:trPr>
          <w:cantSplit w:val="true"/>
        </w:trPr>
        <w:tc>
          <w:tcPr>
            <w:tcW w:type="dxa" w:w="2556"/>
            <w:vAlign w:val="center"/>
          </w:tcPr>
          <w:p>
            <w:r>
              <w:t>Practice Mode</w:t>
            </w:r>
          </w:p>
        </w:tc>
        <w:tc>
          <w:tcPr>
            <w:tcW w:type="dxa" w:w="2556"/>
            <w:vAlign w:val="center"/>
          </w:tcPr>
          <w:p>
            <w:r>
              <w:t>Future feature</w:t>
            </w:r>
          </w:p>
        </w:tc>
        <w:tc>
          <w:tcPr>
            <w:tcW w:type="dxa" w:w="2556"/>
            <w:vAlign w:val="center"/>
          </w:tcPr>
          <w:p>
            <w:r>
              <w:t>Future policy</w:t>
            </w:r>
          </w:p>
        </w:tc>
        <w:tc>
          <w:tcPr>
            <w:tcW w:type="dxa" w:w="2556"/>
            <w:vAlign w:val="center"/>
          </w:tcPr>
          <w:p>
            <w:r>
              <w:t>Future policy</w:t>
            </w:r>
          </w:p>
        </w:tc>
      </w:tr>
    </w:tbl>
    <w:p>
      <w:pPr>
        <w:pStyle w:val="Heading1"/>
      </w:pPr>
      <w:r>
        <w:t>22. Prompt Injection and AI Security</w:t>
      </w:r>
    </w:p>
    <w:p>
      <w:pPr>
        <w:pStyle w:val="ListBullet"/>
      </w:pPr>
      <w:r>
        <w:t>PDFs, images, imported question text and other uploaded content are data, not instructions to the AI system.</w:t>
      </w:r>
    </w:p>
    <w:p>
      <w:pPr>
        <w:pStyle w:val="ListBullet"/>
      </w:pPr>
      <w:r>
        <w:t>Legitimate exam instructions such as 'answer questions 1–3 only' are content of the exam and must remain content.</w:t>
      </w:r>
    </w:p>
    <w:p>
      <w:pPr>
        <w:pStyle w:val="ListBullet"/>
      </w:pPr>
      <w:r>
        <w:t>Instructions that attempt to make the AI access databases, reveal secrets, change policy or bypass authorization are treated as untrusted prompt-injection content.</w:t>
      </w:r>
    </w:p>
    <w:p>
      <w:pPr>
        <w:pStyle w:val="ListBullet"/>
      </w:pPr>
      <w:r>
        <w:t>The AI should not be allowed to execute an uploaded instruction merely because it appears inside a document.</w:t>
      </w:r>
    </w:p>
    <w:p>
      <w:pPr>
        <w:pStyle w:val="ListBullet"/>
      </w:pPr>
      <w:r>
        <w:t>Where suspicious content is detected, the application should flag it as Needs Review and show the relevant extracted content to the authorized reviewer.</w:t>
      </w:r>
    </w:p>
    <w:p>
      <w:pPr>
        <w:pStyle w:val="ListBullet"/>
      </w:pPr>
      <w:r>
        <w:t>All AI calls pass through authentication, authorization, tenant resolution, credit/security checks and output validation.</w:t>
      </w:r>
    </w:p>
    <w:p>
      <w:pPr>
        <w:pStyle w:val="ListBullet"/>
      </w:pPr>
      <w:r>
        <w:t>No unrestricted execute_sql or database-browser capability is exposed to school-facing AI.</w:t>
      </w:r>
    </w:p>
    <w:p>
      <w:pPr>
        <w:pStyle w:val="ListBullet"/>
      </w:pPr>
      <w:r>
        <w:t>AI tools are narrow, role-aware and server-authorized application functions.</w:t>
      </w:r>
    </w:p>
    <w:p>
      <w:pPr>
        <w:pStyle w:val="Heading1"/>
      </w:pPr>
      <w:r>
        <w:t>23. Super Admin Copilot Separation</w:t>
      </w:r>
    </w:p>
    <w:p>
      <w:r>
        <w:t>The existing Super Admin Copilot is explicitly separate from school-facing Assessment AI. ZED confirmed that the Copilot already operates within a separate permission domain and can perform controlled database writes.</w:t>
      </w:r>
    </w:p>
    <w:p>
      <w:pPr>
        <w:pStyle w:val="ListBullet"/>
      </w:pPr>
      <w:r>
        <w:t>Preserve the separate tool registry and authorization boundary.</w:t>
      </w:r>
    </w:p>
    <w:p>
      <w:pPr>
        <w:pStyle w:val="ListBullet"/>
      </w:pPr>
      <w:r>
        <w:t>Do not expose Copilot-level write tools to teachers or students.</w:t>
      </w:r>
    </w:p>
    <w:p>
      <w:pPr>
        <w:pStyle w:val="ListBullet"/>
      </w:pPr>
      <w:r>
        <w:t>Validate Copilot execution plans against a strict schema before execution.</w:t>
      </w:r>
    </w:p>
    <w:p>
      <w:pPr>
        <w:pStyle w:val="ListBullet"/>
      </w:pPr>
      <w:r>
        <w:t>Continue journaling/rollback/audit patterns for high-impact administrative operations.</w:t>
      </w:r>
    </w:p>
    <w:p>
      <w:pPr>
        <w:pStyle w:val="ListBullet"/>
      </w:pPr>
      <w:r>
        <w:t>Do not use the school AI Gateway as a shortcut around Super Admin authorization.</w:t>
      </w:r>
    </w:p>
    <w:p>
      <w:pPr>
        <w:pStyle w:val="Heading1"/>
      </w:pPr>
      <w:r>
        <w:t>24. Design System and Reuse</w:t>
      </w:r>
    </w:p>
    <w:p>
      <w:pPr>
        <w:pStyle w:val="ListBullet"/>
      </w:pPr>
      <w:r>
        <w:t>CBT is a module of SchoolEd, not a separate visual product.</w:t>
      </w:r>
    </w:p>
    <w:p>
      <w:pPr>
        <w:pStyle w:val="ListBullet"/>
      </w:pPr>
      <w:r>
        <w:t>Reuse existing buttons, cards, dialogs, drawers, forms, tables, toasts, typography and design tokens.</w:t>
      </w:r>
    </w:p>
    <w:p>
      <w:pPr>
        <w:pStyle w:val="ListBullet"/>
      </w:pPr>
      <w:r>
        <w:t>Global color/theme changes should propagate to CBT automatically.</w:t>
      </w:r>
    </w:p>
    <w:p>
      <w:pPr>
        <w:pStyle w:val="ListBullet"/>
      </w:pPr>
      <w:r>
        <w:t>Student assessment screens should remain focused even if teacher management screens are information-rich.</w:t>
      </w:r>
    </w:p>
    <w:p>
      <w:pPr>
        <w:pStyle w:val="ListBullet"/>
      </w:pPr>
      <w:r>
        <w:t>No duplicate CBT-specific design system should be created unless a documented gap exists.</w:t>
      </w:r>
    </w:p>
    <w:p>
      <w:pPr>
        <w:pStyle w:val="Heading1"/>
      </w:pPr>
      <w:r>
        <w:t>25. Performance and Scalability Requirements</w:t>
      </w:r>
    </w:p>
    <w:p>
      <w:pPr>
        <w:pStyle w:val="ListBullet"/>
      </w:pPr>
      <w:r>
        <w:t>Do not write timer state every second.</w:t>
      </w:r>
    </w:p>
    <w:p>
      <w:pPr>
        <w:pStyle w:val="ListBullet"/>
      </w:pPr>
      <w:r>
        <w:t>Load published assessment/question content efficiently and avoid repeated per-question network fetches.</w:t>
      </w:r>
    </w:p>
    <w:p>
      <w:pPr>
        <w:pStyle w:val="ListBullet"/>
      </w:pPr>
      <w:r>
        <w:t>Batch or strategically trigger answer autosaves rather than generating unnecessary write traffic.</w:t>
      </w:r>
    </w:p>
    <w:p>
      <w:pPr>
        <w:pStyle w:val="ListBullet"/>
      </w:pPr>
      <w:r>
        <w:t>Use indexes for common school/assessment/attempt/result lookups.</w:t>
      </w:r>
    </w:p>
    <w:p>
      <w:pPr>
        <w:pStyle w:val="ListBullet"/>
      </w:pPr>
      <w:r>
        <w:t>Avoid unbounded scans in new CBT and AI-credit paths.</w:t>
      </w:r>
    </w:p>
    <w:p>
      <w:pPr>
        <w:pStyle w:val="ListBullet"/>
      </w:pPr>
      <w:r>
        <w:t>Use transactions for operations that must be atomic, especially attempt submission and credit ledger transitions.</w:t>
      </w:r>
    </w:p>
    <w:p>
      <w:pPr>
        <w:pStyle w:val="ListBullet"/>
      </w:pPr>
      <w:r>
        <w:t>Keep Supabase/Postgres as the source of truth unless measurable production evidence later justifies another datastore.</w:t>
      </w:r>
    </w:p>
    <w:p>
      <w:pPr>
        <w:pStyle w:val="Heading1"/>
      </w:pPr>
      <w:r>
        <w:t>26. Existing Features to Reuse Carefully</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tcPr>
          <w:p>
            <w:r>
              <w:t>Existing capability</w:t>
            </w:r>
          </w:p>
        </w:tc>
        <w:tc>
          <w:tcPr>
            <w:tcW w:type="dxa" w:w="5112"/>
          </w:tcPr>
          <w:p>
            <w:r>
              <w:t>Target use</w:t>
            </w:r>
          </w:p>
        </w:tc>
      </w:tr>
      <w:tr>
        <w:trPr>
          <w:cantSplit w:val="true"/>
        </w:trPr>
        <w:tc>
          <w:tcPr>
            <w:tcW w:type="dxa" w:w="5112"/>
            <w:vAlign w:val="center"/>
          </w:tcPr>
          <w:p>
            <w:r>
              <w:t>components/ui</w:t>
            </w:r>
          </w:p>
        </w:tc>
        <w:tc>
          <w:tcPr>
            <w:tcW w:type="dxa" w:w="5112"/>
            <w:vAlign w:val="center"/>
          </w:tcPr>
          <w:p>
            <w:r>
              <w:t>Use as the base for CBT UI and forms.</w:t>
            </w:r>
          </w:p>
        </w:tc>
      </w:tr>
      <w:tr>
        <w:trPr>
          <w:cantSplit w:val="true"/>
        </w:trPr>
        <w:tc>
          <w:tcPr>
            <w:tcW w:type="dxa" w:w="5112"/>
            <w:vAlign w:val="center"/>
          </w:tcPr>
          <w:p>
            <w:r>
              <w:t>school_features</w:t>
            </w:r>
          </w:p>
        </w:tc>
        <w:tc>
          <w:tcPr>
            <w:tcW w:type="dxa" w:w="5112"/>
            <w:vAlign w:val="center"/>
          </w:tcPr>
          <w:p>
            <w:r>
              <w:t>Use the existing feature-flag pattern for school-level feature access.</w:t>
            </w:r>
          </w:p>
        </w:tc>
      </w:tr>
      <w:tr>
        <w:trPr>
          <w:cantSplit w:val="true"/>
        </w:trPr>
        <w:tc>
          <w:tcPr>
            <w:tcW w:type="dxa" w:w="5112"/>
            <w:vAlign w:val="center"/>
          </w:tcPr>
          <w:p>
            <w:r>
              <w:t>Copilot audit/rollback</w:t>
            </w:r>
          </w:p>
        </w:tc>
        <w:tc>
          <w:tcPr>
            <w:tcW w:type="dxa" w:w="5112"/>
            <w:vAlign w:val="center"/>
          </w:tcPr>
          <w:p>
            <w:r>
              <w:t>Use the pattern for high-impact AI/admin auditability; do not copy its elevated permissions.</w:t>
            </w:r>
          </w:p>
        </w:tc>
      </w:tr>
      <w:tr>
        <w:trPr>
          <w:cantSplit w:val="true"/>
        </w:trPr>
        <w:tc>
          <w:tcPr>
            <w:tcW w:type="dxa" w:w="5112"/>
            <w:vAlign w:val="center"/>
          </w:tcPr>
          <w:p>
            <w:r>
              <w:t>Finance ledger patterns</w:t>
            </w:r>
          </w:p>
        </w:tc>
        <w:tc>
          <w:tcPr>
            <w:tcW w:type="dxa" w:w="5112"/>
            <w:vAlign w:val="center"/>
          </w:tcPr>
          <w:p>
            <w:r>
              <w:t>Use as an architectural reference for AI Credit ledger/accounting; keep domains separate.</w:t>
            </w:r>
          </w:p>
        </w:tc>
      </w:tr>
      <w:tr>
        <w:trPr>
          <w:cantSplit w:val="true"/>
        </w:trPr>
        <w:tc>
          <w:tcPr>
            <w:tcW w:type="dxa" w:w="5112"/>
            <w:vAlign w:val="center"/>
          </w:tcPr>
          <w:p>
            <w:r>
              <w:t>Existing local draft/autosave</w:t>
            </w:r>
          </w:p>
        </w:tc>
        <w:tc>
          <w:tcPr>
            <w:tcW w:type="dxa" w:w="5112"/>
            <w:vAlign w:val="center"/>
          </w:tcPr>
          <w:p>
            <w:r>
              <w:t>Reuse for answer recovery where its behavior is suitable.</w:t>
            </w:r>
          </w:p>
        </w:tc>
      </w:tr>
      <w:tr>
        <w:trPr>
          <w:cantSplit w:val="true"/>
        </w:trPr>
        <w:tc>
          <w:tcPr>
            <w:tcW w:type="dxa" w:w="5112"/>
            <w:vAlign w:val="center"/>
          </w:tcPr>
          <w:p>
            <w:r>
              <w:t>Teacher/class/subject verification</w:t>
            </w:r>
          </w:p>
        </w:tc>
        <w:tc>
          <w:tcPr>
            <w:tcW w:type="dxa" w:w="5112"/>
            <w:vAlign w:val="center"/>
          </w:tcPr>
          <w:p>
            <w:r>
              <w:t>Reuse the verified authorization pattern demonstrated by the existing AI import.</w:t>
            </w:r>
          </w:p>
        </w:tc>
      </w:tr>
      <w:tr>
        <w:trPr>
          <w:cantSplit w:val="true"/>
        </w:trPr>
        <w:tc>
          <w:tcPr>
            <w:tcW w:type="dxa" w:w="5112"/>
            <w:vAlign w:val="center"/>
          </w:tcPr>
          <w:p>
            <w:r>
              <w:t>Existing media infrastructure</w:t>
            </w:r>
          </w:p>
        </w:tc>
        <w:tc>
          <w:tcPr>
            <w:tcW w:type="dxa" w:w="5112"/>
            <w:vAlign w:val="center"/>
          </w:tcPr>
          <w:p>
            <w:r>
              <w:t>Reuse only after privacy/access controls are corrected for sensitive examination media.</w:t>
            </w:r>
          </w:p>
        </w:tc>
      </w:tr>
    </w:tbl>
    <w:p>
      <w:pPr>
        <w:pStyle w:val="Heading1"/>
      </w:pPr>
      <w:r>
        <w:t>27. Things the New Architecture Must Not Repeat</w:t>
      </w:r>
    </w:p>
    <w:p>
      <w:pPr>
        <w:pStyle w:val="ListBullet"/>
      </w:pPr>
      <w:r>
        <w:t>Do not use existing gradebook assessment tables as CBT entities.</w:t>
      </w:r>
    </w:p>
    <w:p>
      <w:pPr>
        <w:pStyle w:val="ListBullet"/>
      </w:pPr>
      <w:r>
        <w:t>Do not rely on route-level .eq('school_id', ...) alone as the only tenant safety mechanism.</w:t>
      </w:r>
    </w:p>
    <w:p>
      <w:pPr>
        <w:pStyle w:val="ListBullet"/>
      </w:pPr>
      <w:r>
        <w:t>Do not expose sensitive exam/student media through public storage URLs.</w:t>
      </w:r>
    </w:p>
    <w:p>
      <w:pPr>
        <w:pStyle w:val="ListBullet"/>
      </w:pPr>
      <w:r>
        <w:t>Do not hard-code DeepSeek directly into every feature.</w:t>
      </w:r>
    </w:p>
    <w:p>
      <w:pPr>
        <w:pStyle w:val="ListBullet"/>
      </w:pPr>
      <w:r>
        <w:t>Do not give school-facing AI unrestricted database access.</w:t>
      </w:r>
    </w:p>
    <w:p>
      <w:pPr>
        <w:pStyle w:val="ListBullet"/>
      </w:pPr>
      <w:r>
        <w:t>Do not treat AI output as an official academic result without the configured approval workflow.</w:t>
      </w:r>
    </w:p>
    <w:p>
      <w:pPr>
        <w:pStyle w:val="ListBullet"/>
      </w:pPr>
      <w:r>
        <w:t>Do not silently mutate historical results.</w:t>
      </w:r>
    </w:p>
    <w:p>
      <w:pPr>
        <w:pStyle w:val="ListBullet"/>
      </w:pPr>
      <w:r>
        <w:t>Do not add CBT migrations to a database history that cannot be rebuilt reliably.</w:t>
      </w:r>
    </w:p>
    <w:p>
      <w:pPr>
        <w:pStyle w:val="Heading1"/>
      </w:pPr>
      <w:r>
        <w:t>28. Data Ownership and Future Reuse</w:t>
      </w:r>
    </w:p>
    <w:p>
      <w:r>
        <w:t>Current Question Bank content is school-scoped and treated as school-owned content within the product. Future public reuse, sharing or AI-training use of school content is not automatically approved by this architecture.</w:t>
      </w:r>
    </w:p>
    <w:p>
      <w:r>
        <w:t>The data model may include future permission metadata for public reuse, AI training, licensing and other content rights, but the legal policy must be defined separately and should not be assumed from technical implementation.</w:t>
      </w:r>
    </w:p>
    <w:p>
      <w:pPr>
        <w:pStyle w:val="Heading1"/>
      </w:pPr>
      <w:r>
        <w:t>29. Future Extension Without Current Scope Expansion</w:t>
      </w:r>
    </w:p>
    <w:p>
      <w:pPr>
        <w:pStyle w:val="ListBullet"/>
      </w:pPr>
      <w:r>
        <w:t>Practice Mode can reuse the Assessment Engine later.</w:t>
      </w:r>
    </w:p>
    <w:p>
      <w:pPr>
        <w:pStyle w:val="ListBullet"/>
      </w:pPr>
      <w:r>
        <w:t>Public learning can consume approved structured question content later.</w:t>
      </w:r>
    </w:p>
    <w:p>
      <w:pPr>
        <w:pStyle w:val="ListBullet"/>
      </w:pPr>
      <w:r>
        <w:t>AI tutoring can use structured topics/questions later.</w:t>
      </w:r>
    </w:p>
    <w:p>
      <w:pPr>
        <w:pStyle w:val="ListBullet"/>
      </w:pPr>
      <w:r>
        <w:t>Lesson notes can later become a structured learning-content source.</w:t>
      </w:r>
    </w:p>
    <w:p>
      <w:pPr>
        <w:pStyle w:val="ListBullet"/>
      </w:pPr>
      <w:r>
        <w:t>Additional AI providers can be attached through the Provider Router.</w:t>
      </w:r>
    </w:p>
    <w:p>
      <w:pPr>
        <w:pStyle w:val="ListBullet"/>
      </w:pPr>
      <w:r>
        <w:t>New AI capabilities should consume the same Gateway, permission, Credit and security framework.</w:t>
      </w:r>
    </w:p>
    <w:p>
      <w:pPr>
        <w:pStyle w:val="Heading1"/>
      </w:pPr>
      <w:r>
        <w:t>30. Architecture Acceptance Criteria</w:t>
      </w:r>
    </w:p>
    <w:p>
      <w:pPr>
        <w:pStyle w:val="ListBullet"/>
      </w:pPr>
      <w:r>
        <w:t>The current release implements Assessment/CBT and does not expose Practice Mode.</w:t>
      </w:r>
    </w:p>
    <w:p>
      <w:pPr>
        <w:pStyle w:val="ListBullet"/>
      </w:pPr>
      <w:r>
        <w:t>CBT data is school-scoped and cannot cross tenants.</w:t>
      </w:r>
    </w:p>
    <w:p>
      <w:pPr>
        <w:pStyle w:val="ListBullet"/>
      </w:pPr>
      <w:r>
        <w:t>CBT names do not collide with existing gradebook assessment concepts.</w:t>
      </w:r>
    </w:p>
    <w:p>
      <w:pPr>
        <w:pStyle w:val="ListBullet"/>
      </w:pPr>
      <w:r>
        <w:t>Question options have stable internal IDs.</w:t>
      </w:r>
    </w:p>
    <w:p>
      <w:pPr>
        <w:pStyle w:val="ListBullet"/>
      </w:pPr>
      <w:r>
        <w:t>Randomized option display cannot change grading.</w:t>
      </w:r>
    </w:p>
    <w:p>
      <w:pPr>
        <w:pStyle w:val="ListBullet"/>
      </w:pPr>
      <w:r>
        <w:t>Official assessment timing is server-authoritative.</w:t>
      </w:r>
    </w:p>
    <w:p>
      <w:pPr>
        <w:pStyle w:val="ListBullet"/>
      </w:pPr>
      <w:r>
        <w:t>Objective marking is deterministic.</w:t>
      </w:r>
    </w:p>
    <w:p>
      <w:pPr>
        <w:pStyle w:val="ListBullet"/>
      </w:pPr>
      <w:r>
        <w:t>Subjective AI marking requires teacher approval before official publication.</w:t>
      </w:r>
    </w:p>
    <w:p>
      <w:pPr>
        <w:pStyle w:val="ListBullet"/>
      </w:pPr>
      <w:r>
        <w:t>Result corrections are fully auditable.</w:t>
      </w:r>
    </w:p>
    <w:p>
      <w:pPr>
        <w:pStyle w:val="ListBullet"/>
      </w:pPr>
      <w:r>
        <w:t>AI requests pass through one centralized gateway.</w:t>
      </w:r>
    </w:p>
    <w:p>
      <w:pPr>
        <w:pStyle w:val="ListBullet"/>
      </w:pPr>
      <w:r>
        <w:t>Provider order and fallback are configurable by Super Admin.</w:t>
      </w:r>
    </w:p>
    <w:p>
      <w:pPr>
        <w:pStyle w:val="ListBullet"/>
      </w:pPr>
      <w:r>
        <w:t>Fallback is finite and cannot loop indefinitely.</w:t>
      </w:r>
    </w:p>
    <w:p>
      <w:pPr>
        <w:pStyle w:val="ListBullet"/>
      </w:pPr>
      <w:r>
        <w:t>AI Credits are tracked with a ledger and school ownership.</w:t>
      </w:r>
    </w:p>
    <w:p>
      <w:pPr>
        <w:pStyle w:val="ListBullet"/>
      </w:pPr>
      <w:r>
        <w:t>AI/provider usage is separately measurable from school Credits.</w:t>
      </w:r>
    </w:p>
    <w:p>
      <w:pPr>
        <w:pStyle w:val="ListBullet"/>
      </w:pPr>
      <w:r>
        <w:t>Uploaded document content cannot become an unauthorized AI command.</w:t>
      </w:r>
    </w:p>
    <w:p>
      <w:pPr>
        <w:pStyle w:val="ListBullet"/>
      </w:pPr>
      <w:r>
        <w:t>School AI cannot access another school's data.</w:t>
      </w:r>
    </w:p>
    <w:p>
      <w:pPr>
        <w:pStyle w:val="ListBullet"/>
      </w:pPr>
      <w:r>
        <w:t>School AI cannot execute unrestricted raw SQL.</w:t>
      </w:r>
    </w:p>
    <w:p>
      <w:pPr>
        <w:pStyle w:val="ListBullet"/>
      </w:pPr>
      <w:r>
        <w:t>Sensitive examination media is not publicly exposed.</w:t>
      </w:r>
    </w:p>
    <w:p>
      <w:pPr>
        <w:pStyle w:val="ListBullet"/>
      </w:pPr>
      <w:r>
        <w:t>The CBT UI inherits the SchoolEd design system.</w:t>
      </w:r>
    </w:p>
    <w:p>
      <w:pPr>
        <w:pStyle w:val="ListBullet"/>
      </w:pPr>
      <w:r>
        <w:t>The database migration path is reproducible before CBT schema rollout.</w:t>
      </w:r>
    </w:p>
    <w:p>
      <w:pPr>
        <w:pStyle w:val="Heading1"/>
      </w:pPr>
      <w:r>
        <w:t>31. Required Architecture Review Outcome from ZED</w:t>
      </w:r>
    </w:p>
    <w:p>
      <w:r>
        <w:t>This document should now be returned to ZED for a second, still-read-only validation pass. ZED should not implement the system yet. It should verify that the reconciled architecture is compatible with the actual repository and identify any remaining contradictions before proposing implementation phases.</w:t>
      </w:r>
    </w:p>
    <w:p>
      <w:pPr/>
      <w:r>
        <w:t>1. Validate each foundation gate against the current repository.</w:t>
      </w:r>
    </w:p>
    <w:p>
      <w:pPr/>
      <w:r>
        <w:t>2. Confirm whether the recommended RLS approach is technically compatible with the current authentication setup.</w:t>
      </w:r>
    </w:p>
    <w:p>
      <w:pPr/>
      <w:r>
        <w:t>3. Propose the safest migration-repair strategy without implementing it.</w:t>
      </w:r>
    </w:p>
    <w:p>
      <w:pPr/>
      <w:r>
        <w:t>4. Confirm the exact naming strategy that avoids gradebook/CBT collision.</w:t>
      </w:r>
    </w:p>
    <w:p>
      <w:pPr/>
      <w:r>
        <w:t>5. Map reusable components/services to the target architecture.</w:t>
      </w:r>
    </w:p>
    <w:p>
      <w:pPr/>
      <w:r>
        <w:t>6. Identify any requirements in this document that conflict with current code.</w:t>
      </w:r>
    </w:p>
    <w:p>
      <w:pPr/>
      <w:r>
        <w:t>7. Identify any current-system constraint that is missing from this document.</w:t>
      </w:r>
    </w:p>
    <w:p>
      <w:pPr/>
      <w:r>
        <w:t>8. Only after this validation is accepted, produce the approximately 20-phase implementation plan.</w:t>
      </w:r>
    </w:p>
    <w:p>
      <w:pPr>
        <w:pStyle w:val="Heading1"/>
      </w:pPr>
      <w:r>
        <w:t>32. Implementation Plan Gate</w:t>
      </w:r>
    </w:p>
    <w:p>
      <w:r>
        <w:t>The next requested artifact after architectural validation is not another product requirements document. It is a phased implementation plan derived from this approved specification and the real repository.</w:t>
      </w:r>
    </w:p>
    <w:p>
      <w:r>
        <w:t>Each phase should state: objective, scope, files/modules expected to change, database changes, dependencies, security considerations, test requirements, migration/rollback considerations and explicit acceptance criteria.</w:t>
      </w:r>
    </w:p>
    <w:p>
      <w:pPr>
        <w:pStyle w:val="Heading1"/>
      </w:pPr>
      <w:r>
        <w:t>33. Document Authority</w:t>
      </w:r>
    </w:p>
    <w:p>
      <w:r>
        <w:t>When this document conflicts with an older architecture note, the latest approved version of this reconciled specification takes precedence. When implementation evidence from the codebase conflicts with a stated assumption, the discrepancy must be surfaced and resolved explicitly rather than silently bypassed.</w:t>
      </w:r>
    </w:p>
    <w:p>
      <w:r>
        <w:t>This document does not authorize implementation by itself. It becomes the architectural baseline only after the final read-only validation and review process is completed.</w:t>
      </w:r>
    </w:p>
    <w:p>
      <w:pPr>
        <w:pStyle w:val="Heading1"/>
      </w:pPr>
      <w:r>
        <w:t>34. Source Basis</w:t>
      </w:r>
    </w:p>
    <w:p>
      <w:r>
        <w:t>Primary review basis: the original SchoolEd Assessment &amp; AI Architecture Specification and the ZED AI read-only Architecture Gap Review of the current codebase and database. ZED explicitly reported that no files were modified during its review and that the Assessment/CBT product was greenfield while significant tenant-isolation, migration and AI-control-plane gaps existed.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SchoolEd • Final Reconciled Architecture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