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e7375e332a3cff58d58530647d1dab33fe2085b"/>
    <w:p>
      <w:pPr>
        <w:pStyle w:val="Heading1"/>
      </w:pPr>
      <w:r>
        <w:t xml:space="preserve">S1: PGCS Grammar — Derivation, Specification, and Validation</w:t>
      </w:r>
    </w:p>
    <w:p>
      <w:pPr>
        <w:pStyle w:val="BlockText"/>
      </w:pPr>
      <w:r>
        <w:rPr>
          <w:bCs/>
          <w:b/>
        </w:rPr>
        <w:t xml:space="preserve">Source code:</w:t>
      </w:r>
      <w:r>
        <w:t xml:space="preserve"> </w:t>
      </w:r>
      <w:r>
        <w:rPr>
          <w:rStyle w:val="VerbatimChar"/>
        </w:rPr>
        <w:t xml:space="preserve">src/p70c_full.py</w:t>
      </w:r>
      <w:r>
        <w:t xml:space="preserve"> (P70C_Full class, builder)</w:t>
        <w:br/>
      </w:r>
      <w:r>
        <w:rPr>
          <w:bCs/>
          <w:b/>
        </w:rPr>
        <w:t xml:space="preserve">Data:</w:t>
      </w:r>
      <w:r>
        <w:t xml:space="preserve"> </w:t>
      </w:r>
      <w:r>
        <w:rPr>
          <w:rStyle w:val="VerbatimChar"/>
        </w:rPr>
        <w:t xml:space="preserve">data/p70_rules_canonical.json</w:t>
      </w:r>
      <w:r>
        <w:t xml:space="preserve"> (210 rules), </w:t>
      </w:r>
      <w:r>
        <w:rPr>
          <w:rStyle w:val="VerbatimChar"/>
        </w:rPr>
        <w:t xml:space="preserve">data/p70c_full_spec_v1.json</w:t>
      </w:r>
      <w:r>
        <w:t xml:space="preserve"> (6,750 quints), </w:t>
      </w:r>
      <w:r>
        <w:rPr>
          <w:rStyle w:val="VerbatimChar"/>
        </w:rPr>
        <w:t xml:space="preserve">data/enriched_records.pkl</w:t>
      </w:r>
      <w:r>
        <w:t xml:space="preserve"> (37,465 parsed tokens)</w:t>
      </w:r>
    </w:p>
    <w:p>
      <w:pPr>
        <w:pStyle w:val="FirstParagraph"/>
      </w:pPr>
      <w:r>
        <w:rPr>
          <w:bCs/>
          <w:b/>
        </w:rPr>
        <w:t xml:space="preserve">Terminology note.</w:t>
      </w:r>
      <w:r>
        <w:t xml:space="preserve"> The implementation uses internal names that appear in source code headers throughout these supplements:</w:t>
      </w:r>
    </w:p>
    <w:tbl>
      <w:tblPr>
        <w:tblStyle w:val="Table"/>
        <w:tblW w:type="pct" w:w="5000"/>
        <w:tblLook w:firstRow="1" w:lastRow="0" w:firstColumn="0" w:lastColumn="0" w:noHBand="0" w:noVBand="0" w:val="0020"/>
        <w:jc w:val="start"/>
      </w:tblPr>
      <w:tblGrid>
        <w:gridCol w:w="2700"/>
        <w:gridCol w:w="2880"/>
        <w:gridCol w:w="2340"/>
      </w:tblGrid>
      <w:tr>
        <w:trPr>
          <w:tblHeader w:val="true"/>
        </w:trPr>
        <w:tc>
          <w:tcPr/>
          <w:p>
            <w:pPr>
              <w:pStyle w:val="Compact"/>
              <w:jc w:val="left"/>
            </w:pPr>
            <w:r>
              <w:t xml:space="preserve">Internal name</w:t>
            </w:r>
          </w:p>
        </w:tc>
        <w:tc>
          <w:tcPr/>
          <w:p>
            <w:pPr>
              <w:pStyle w:val="Compact"/>
              <w:jc w:val="left"/>
            </w:pPr>
            <w:r>
              <w:t xml:space="preserve">Main paper term</w:t>
            </w:r>
          </w:p>
        </w:tc>
        <w:tc>
          <w:tcPr/>
          <w:p>
            <w:pPr>
              <w:pStyle w:val="Compact"/>
              <w:jc w:val="left"/>
            </w:pPr>
            <w:r>
              <w:t xml:space="preserve">Description</w:t>
            </w:r>
          </w:p>
        </w:tc>
      </w:tr>
      <w:tr>
        <w:tc>
          <w:tcPr/>
          <w:p>
            <w:pPr>
              <w:pStyle w:val="Compact"/>
              <w:jc w:val="left"/>
            </w:pPr>
            <w:r>
              <w:t xml:space="preserve">P70</w:t>
            </w:r>
          </w:p>
        </w:tc>
        <w:tc>
          <w:tcPr/>
          <w:p>
            <w:pPr>
              <w:pStyle w:val="Compact"/>
              <w:jc w:val="left"/>
            </w:pPr>
            <w:r>
              <w:t xml:space="preserve">Character grammar (210 rules)</w:t>
            </w:r>
          </w:p>
        </w:tc>
        <w:tc>
          <w:tcPr/>
          <w:p>
            <w:pPr>
              <w:pStyle w:val="Compact"/>
              <w:jc w:val="left"/>
            </w:pPr>
            <w:r>
              <w:t xml:space="preserve">Character-level bigram legality constraints validating PGCS slot boundaries</w:t>
            </w:r>
          </w:p>
        </w:tc>
      </w:tr>
      <w:tr>
        <w:tc>
          <w:tcPr/>
          <w:p>
            <w:pPr>
              <w:pStyle w:val="Compact"/>
              <w:jc w:val="left"/>
            </w:pPr>
            <w:r>
              <w:t xml:space="preserve">P70-C / PGCS-C</w:t>
            </w:r>
          </w:p>
        </w:tc>
        <w:tc>
          <w:tcPr/>
          <w:p>
            <w:pPr>
              <w:pStyle w:val="Compact"/>
              <w:jc w:val="left"/>
            </w:pPr>
            <w:r>
              <w:t xml:space="preserve">Constrained quad inventory (5,172 quads)</w:t>
            </w:r>
          </w:p>
        </w:tc>
        <w:tc>
          <w:tcPr/>
          <w:p>
            <w:pPr>
              <w:pStyle w:val="Compact"/>
              <w:jc w:val="left"/>
            </w:pPr>
            <w:r>
              <w:t xml:space="preserve">Attested slot-filling combinations with frequency and tier metadata</w:t>
            </w:r>
          </w:p>
        </w:tc>
      </w:tr>
      <w:tr>
        <w:tc>
          <w:tcPr/>
          <w:p>
            <w:pPr>
              <w:pStyle w:val="Compact"/>
              <w:jc w:val="left"/>
            </w:pPr>
            <w:r>
              <w:rPr>
                <w:rStyle w:val="VerbatimChar"/>
              </w:rPr>
              <w:t xml:space="preserve">enriched_records.pkl</w:t>
            </w:r>
          </w:p>
        </w:tc>
        <w:tc>
          <w:tcPr/>
          <w:p>
            <w:pPr>
              <w:pStyle w:val="Compact"/>
              <w:jc w:val="left"/>
            </w:pPr>
            <w:r>
              <w:t xml:space="preserve">Enriched corpus (37,465 tokens)</w:t>
            </w:r>
          </w:p>
        </w:tc>
        <w:tc>
          <w:tcPr/>
          <w:p>
            <w:pPr>
              <w:pStyle w:val="Compact"/>
              <w:jc w:val="left"/>
            </w:pPr>
            <w:r>
              <w:t xml:space="preserve">Full P70-C parse applied to every token, with section, folio, and position metadata</w:t>
            </w:r>
          </w:p>
        </w:tc>
      </w:tr>
      <w:tr>
        <w:tc>
          <w:tcPr/>
          <w:p>
            <w:pPr>
              <w:pStyle w:val="Compact"/>
              <w:jc w:val="left"/>
            </w:pPr>
            <w:r>
              <w:t xml:space="preserve">Quad</w:t>
            </w:r>
          </w:p>
        </w:tc>
        <w:tc>
          <w:tcPr/>
          <w:p>
            <w:pPr>
              <w:pStyle w:val="Compact"/>
              <w:jc w:val="left"/>
            </w:pPr>
            <w:r>
              <w:t xml:space="preserve">Quad</w:t>
            </w:r>
          </w:p>
        </w:tc>
        <w:tc>
          <w:tcPr/>
          <w:p>
            <w:pPr>
              <w:pStyle w:val="Compact"/>
              <w:jc w:val="left"/>
            </w:pPr>
            <w:r>
              <w:t xml:space="preserve">Four-slot combination: (prefix, gallows, core-class, suffix-family)</w:t>
            </w:r>
          </w:p>
        </w:tc>
      </w:tr>
      <w:tr>
        <w:tc>
          <w:tcPr/>
          <w:p>
            <w:pPr>
              <w:pStyle w:val="Compact"/>
              <w:jc w:val="left"/>
            </w:pPr>
            <w:r>
              <w:t xml:space="preserve">Quint</w:t>
            </w:r>
          </w:p>
        </w:tc>
        <w:tc>
          <w:tcPr/>
          <w:p>
            <w:pPr>
              <w:pStyle w:val="Compact"/>
              <w:jc w:val="left"/>
            </w:pPr>
            <w:r>
              <w:t xml:space="preserve">Quint</w:t>
            </w:r>
          </w:p>
        </w:tc>
        <w:tc>
          <w:tcPr/>
          <w:p>
            <w:pPr>
              <w:pStyle w:val="Compact"/>
              <w:jc w:val="left"/>
            </w:pPr>
            <w:r>
              <w:t xml:space="preserve">Quad plus line position (FIRST/MID/LAST)</w:t>
            </w:r>
          </w:p>
        </w:tc>
      </w:tr>
    </w:tbl>
    <w:bookmarkStart w:id="24" w:name="s1.1-derivation-methodology"/>
    <w:p>
      <w:pPr>
        <w:pStyle w:val="Heading2"/>
      </w:pPr>
      <w:r>
        <w:t xml:space="preserve">S1.1 Derivation Methodology</w:t>
      </w:r>
    </w:p>
    <w:bookmarkStart w:id="20" w:name="s1.1.1-prior-art-and-starting-point"/>
    <w:p>
      <w:pPr>
        <w:pStyle w:val="Heading3"/>
      </w:pPr>
      <w:r>
        <w:t xml:space="preserve">S1.1.1 Prior Art and Starting Point</w:t>
      </w:r>
    </w:p>
    <w:p>
      <w:pPr>
        <w:pStyle w:val="FirstParagraph"/>
      </w:pPr>
      <w:r>
        <w:t xml:space="preserve">The PGCS decomposition extends Stolfi’s (2005) crust–mantle–core grammar, which established a nested three-layer word structure with positional character constraints and 94.4% token acceptance. PGCS departs from Stolfi’s model in two ways: it separates gallows from core as a distinct functional slot (motivated by the cardinality difference: 9 gallows types vs. 2,001 core types), and it reclassifies the bench characters </w:t>
      </w:r>
      <w:r>
        <w:rPr>
          <w:iCs/>
          <w:i/>
        </w:rPr>
        <w:t xml:space="preserve">ch</w:t>
      </w:r>
      <w:r>
        <w:t xml:space="preserve"> and </w:t>
      </w:r>
      <w:r>
        <w:rPr>
          <w:iCs/>
          <w:i/>
        </w:rPr>
        <w:t xml:space="preserve">sh</w:t>
      </w:r>
      <w:r>
        <w:t xml:space="preserve"> from mantle to prefix status. A mapping between Stolfi’s categories and PGCS slots is given in §2.2 of the main paper.</w:t>
      </w:r>
    </w:p>
    <w:bookmarkEnd w:id="20"/>
    <w:bookmarkStart w:id="21" w:name="s1.1.2-rule-discovery"/>
    <w:p>
      <w:pPr>
        <w:pStyle w:val="Heading3"/>
      </w:pPr>
      <w:r>
        <w:t xml:space="preserve">S1.1.2 Rule Discovery</w:t>
      </w:r>
    </w:p>
    <w:p>
      <w:pPr>
        <w:pStyle w:val="FirstParagraph"/>
      </w:pPr>
      <w:r>
        <w:t xml:space="preserve">The 109 foundational rules (designated P69) were extracted computationally from character bigram co-occurrence patterns across the ZLZI corpus. For each character pair and word position, the algorithm computed the conditional probability of the pair appearing at a morphological boundary versus within a morphological unit, weighted by section-specific frequencies. Rules were retained when they exceeded a stability threshold across multiple manuscript sections.</w:t>
      </w:r>
    </w:p>
    <w:p>
      <w:pPr>
        <w:pStyle w:val="BodyText"/>
      </w:pPr>
      <w:r>
        <w:t xml:space="preserve">Critically, this process </w:t>
      </w:r>
      <w:r>
        <w:rPr>
          <w:iCs/>
          <w:i/>
        </w:rPr>
        <w:t xml:space="preserve">discovered</w:t>
      </w:r>
      <w:r>
        <w:t xml:space="preserve"> the prefix status of </w:t>
      </w:r>
      <w:r>
        <w:rPr>
          <w:iCs/>
          <w:i/>
        </w:rPr>
        <w:t xml:space="preserve">ch</w:t>
      </w:r>
      <w:r>
        <w:t xml:space="preserve"> and </w:t>
      </w:r>
      <w:r>
        <w:rPr>
          <w:iCs/>
          <w:i/>
        </w:rPr>
        <w:t xml:space="preserve">sh</w:t>
      </w:r>
      <w:r>
        <w:t xml:space="preserve">. The boundary rules found that these characters cluster distributionally with word-initial characters (</w:t>
      </w:r>
      <w:r>
        <w:rPr>
          <w:iCs/>
          <w:i/>
        </w:rPr>
        <w:t xml:space="preserve">o</w:t>
      </w:r>
      <w:r>
        <w:t xml:space="preserve">, </w:t>
      </w:r>
      <w:r>
        <w:rPr>
          <w:iCs/>
          <w:i/>
        </w:rPr>
        <w:t xml:space="preserve">d</w:t>
      </w:r>
      <w:r>
        <w:t xml:space="preserve">, </w:t>
      </w:r>
      <w:r>
        <w:rPr>
          <w:iCs/>
          <w:i/>
        </w:rPr>
        <w:t xml:space="preserve">y</w:t>
      </w:r>
      <w:r>
        <w:t xml:space="preserve">, </w:t>
      </w:r>
      <w:r>
        <w:rPr>
          <w:iCs/>
          <w:i/>
        </w:rPr>
        <w:t xml:space="preserve">s</w:t>
      </w:r>
      <w:r>
        <w:t xml:space="preserve">, </w:t>
      </w:r>
      <w:r>
        <w:rPr>
          <w:iCs/>
          <w:i/>
        </w:rPr>
        <w:t xml:space="preserve">qo</w:t>
      </w:r>
      <w:r>
        <w:t xml:space="preserve">), not with gallows characters (</w:t>
      </w:r>
      <w:r>
        <w:rPr>
          <w:iCs/>
          <w:i/>
        </w:rPr>
        <w:t xml:space="preserve">k</w:t>
      </w:r>
      <w:r>
        <w:t xml:space="preserve">, </w:t>
      </w:r>
      <w:r>
        <w:rPr>
          <w:iCs/>
          <w:i/>
        </w:rPr>
        <w:t xml:space="preserve">t</w:t>
      </w:r>
      <w:r>
        <w:t xml:space="preserve">, </w:t>
      </w:r>
      <w:r>
        <w:rPr>
          <w:iCs/>
          <w:i/>
        </w:rPr>
        <w:t xml:space="preserve">p</w:t>
      </w:r>
      <w:r>
        <w:t xml:space="preserve">, </w:t>
      </w:r>
      <w:r>
        <w:rPr>
          <w:iCs/>
          <w:i/>
        </w:rPr>
        <w:t xml:space="preserve">f</w:t>
      </w:r>
      <w:r>
        <w:t xml:space="preserve">). This reclassification was not assumed; it emerged from the co-occurrence statistics and was subsequently confirmed by the information-theoretic evidence documented in §2.2 of the main paper and the 24-alternative comparison in the main README.</w:t>
      </w:r>
    </w:p>
    <w:p>
      <w:pPr>
        <w:pStyle w:val="BodyText"/>
      </w:pPr>
      <w:r>
        <w:t xml:space="preserve">At P69, the system reached saturation: additional rules re-expressed existing structural bias without capturing new information. P69 was frozen as the foundational boundary model.</w:t>
      </w:r>
    </w:p>
    <w:bookmarkEnd w:id="21"/>
    <w:bookmarkStart w:id="22" w:name="s1.1.3-traintest-protocol"/>
    <w:p>
      <w:pPr>
        <w:pStyle w:val="Heading3"/>
      </w:pPr>
      <w:r>
        <w:t xml:space="preserve">S1.1.3 Train/Test Protocol</w:t>
      </w:r>
    </w:p>
    <w:p>
      <w:pPr>
        <w:pStyle w:val="FirstParagraph"/>
      </w:pPr>
      <w:r>
        <w:t xml:space="preserve">After freezing P69, 40% of the corpus was held out by folio. This held-out set was not used during any subsequent stage of rule development or coverage extension. Results of the held-out test (3,930 unseen types, zero violations) and 50-trial cross-validation are reported in S4.1.</w:t>
      </w:r>
    </w:p>
    <w:bookmarkEnd w:id="22"/>
    <w:bookmarkStart w:id="23" w:name="s1.1.4-coverage-extension-p70"/>
    <w:p>
      <w:pPr>
        <w:pStyle w:val="Heading3"/>
      </w:pPr>
      <w:r>
        <w:t xml:space="preserve">S1.1.4 Coverage Extension (P70)</w:t>
      </w:r>
    </w:p>
    <w:p>
      <w:pPr>
        <w:pStyle w:val="FirstParagraph"/>
      </w:pPr>
      <w:r>
        <w:t xml:space="preserve">Two further rounds extended rule coverage without altering P69’s boundary decisions:</w:t>
      </w:r>
    </w:p>
    <w:tbl>
      <w:tblPr>
        <w:tblStyle w:val="Table"/>
        <w:tblW w:type="pct" w:w="5000"/>
        <w:tblLook w:firstRow="1" w:lastRow="0" w:firstColumn="0" w:lastColumn="0" w:noHBand="0" w:noVBand="0" w:val="0020"/>
        <w:jc w:val="start"/>
      </w:tblPr>
      <w:tblGrid>
        <w:gridCol w:w="803"/>
        <w:gridCol w:w="1377"/>
        <w:gridCol w:w="1377"/>
        <w:gridCol w:w="2180"/>
        <w:gridCol w:w="2180"/>
      </w:tblGrid>
      <w:tr>
        <w:trPr>
          <w:tblHeader w:val="true"/>
        </w:trPr>
        <w:tc>
          <w:tcPr/>
          <w:p>
            <w:pPr>
              <w:pStyle w:val="Compact"/>
              <w:jc w:val="left"/>
            </w:pPr>
            <w:r>
              <w:t xml:space="preserve">Round</w:t>
            </w:r>
          </w:p>
        </w:tc>
        <w:tc>
          <w:tcPr/>
          <w:p>
            <w:pPr>
              <w:pStyle w:val="Compact"/>
              <w:jc w:val="left"/>
            </w:pPr>
            <w:r>
              <w:t xml:space="preserve">Rules added</w:t>
            </w:r>
          </w:p>
        </w:tc>
        <w:tc>
          <w:tcPr/>
          <w:p>
            <w:pPr>
              <w:pStyle w:val="Compact"/>
              <w:jc w:val="left"/>
            </w:pPr>
            <w:r>
              <w:t xml:space="preserve">Cumulative</w:t>
            </w:r>
          </w:p>
        </w:tc>
        <w:tc>
          <w:tcPr/>
          <w:p>
            <w:pPr>
              <w:pStyle w:val="Compact"/>
              <w:jc w:val="left"/>
            </w:pPr>
            <w:r>
              <w:t xml:space="preserve">Character coverage</w:t>
            </w:r>
          </w:p>
        </w:tc>
        <w:tc>
          <w:tcPr/>
          <w:p>
            <w:pPr>
              <w:pStyle w:val="Compact"/>
              <w:jc w:val="left"/>
            </w:pPr>
            <w:r>
              <w:t xml:space="preserve">Word full coverage</w:t>
            </w:r>
          </w:p>
        </w:tc>
      </w:tr>
      <w:tr>
        <w:tc>
          <w:tcPr/>
          <w:p>
            <w:pPr>
              <w:pStyle w:val="Compact"/>
              <w:jc w:val="left"/>
            </w:pPr>
            <w:r>
              <w:t xml:space="preserve">P69 (frozen)</w:t>
            </w:r>
          </w:p>
        </w:tc>
        <w:tc>
          <w:tcPr/>
          <w:p>
            <w:pPr>
              <w:pStyle w:val="Compact"/>
              <w:jc w:val="left"/>
            </w:pPr>
            <w:r>
              <w:t xml:space="preserve">109</w:t>
            </w:r>
          </w:p>
        </w:tc>
        <w:tc>
          <w:tcPr/>
          <w:p>
            <w:pPr>
              <w:pStyle w:val="Compact"/>
              <w:jc w:val="left"/>
            </w:pPr>
            <w:r>
              <w:t xml:space="preserve">109</w:t>
            </w:r>
          </w:p>
        </w:tc>
        <w:tc>
          <w:tcPr/>
          <w:p>
            <w:pPr>
              <w:pStyle w:val="Compact"/>
              <w:jc w:val="left"/>
            </w:pPr>
            <w:r>
              <w:t xml:space="preserve">45.61%</w:t>
            </w:r>
          </w:p>
        </w:tc>
        <w:tc>
          <w:tcPr/>
          <w:p>
            <w:pPr>
              <w:pStyle w:val="Compact"/>
              <w:jc w:val="left"/>
            </w:pPr>
            <w:r>
              <w:t xml:space="preserve">1.30%</w:t>
            </w:r>
          </w:p>
        </w:tc>
      </w:tr>
      <w:tr>
        <w:tc>
          <w:tcPr/>
          <w:p>
            <w:pPr>
              <w:pStyle w:val="Compact"/>
              <w:jc w:val="left"/>
            </w:pPr>
            <w:r>
              <w:t xml:space="preserve">P70 round 1</w:t>
            </w:r>
          </w:p>
        </w:tc>
        <w:tc>
          <w:tcPr/>
          <w:p>
            <w:pPr>
              <w:pStyle w:val="Compact"/>
              <w:jc w:val="left"/>
            </w:pPr>
            <w:r>
              <w:t xml:space="preserve">+71</w:t>
            </w:r>
          </w:p>
        </w:tc>
        <w:tc>
          <w:tcPr/>
          <w:p>
            <w:pPr>
              <w:pStyle w:val="Compact"/>
              <w:jc w:val="left"/>
            </w:pPr>
            <w:r>
              <w:t xml:space="preserve">180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P70 round 2</w:t>
            </w:r>
          </w:p>
        </w:tc>
        <w:tc>
          <w:tcPr/>
          <w:p>
            <w:pPr>
              <w:pStyle w:val="Compact"/>
              <w:jc w:val="left"/>
            </w:pPr>
            <w:r>
              <w:t xml:space="preserve">+30</w:t>
            </w:r>
          </w:p>
        </w:tc>
        <w:tc>
          <w:tcPr/>
          <w:p>
            <w:pPr>
              <w:pStyle w:val="Compact"/>
              <w:jc w:val="left"/>
            </w:pPr>
            <w:r>
              <w:t xml:space="preserve">210</w:t>
            </w:r>
          </w:p>
        </w:tc>
        <w:tc>
          <w:tcPr/>
          <w:p>
            <w:pPr>
              <w:pStyle w:val="Compact"/>
              <w:jc w:val="left"/>
            </w:pPr>
            <w:r>
              <w:t xml:space="preserve">92.96%</w:t>
            </w:r>
          </w:p>
        </w:tc>
        <w:tc>
          <w:tcPr/>
          <w:p>
            <w:pPr>
              <w:pStyle w:val="Compact"/>
              <w:jc w:val="left"/>
            </w:pPr>
            <w:r>
              <w:t xml:space="preserve">71.93%</w:t>
            </w:r>
          </w:p>
        </w:tc>
      </w:tr>
    </w:tbl>
    <w:p>
      <w:pPr>
        <w:pStyle w:val="BodyText"/>
      </w:pPr>
      <w:r>
        <w:t xml:space="preserve">The 101 additional rules address suffix patterns, gallows contexts, word-final/initial constraints, and compound suffixes. All follow the same schema with section-conditioned weights (documented in S1.3). The P69 boundary positions — including the ch/sh prefix classification — remained unchanged.</w:t>
      </w:r>
    </w:p>
    <w:p>
      <w:pPr>
        <w:pStyle w:val="BodyText"/>
      </w:pPr>
      <w:r>
        <w:t xml:space="preserve">The iteration history is recorded in the </w:t>
      </w:r>
      <w:r>
        <w:rPr>
          <w:rStyle w:val="VerbatimChar"/>
        </w:rPr>
        <w:t xml:space="preserve">created_from</w:t>
      </w:r>
      <w:r>
        <w:t xml:space="preserve"> header of </w:t>
      </w:r>
      <w:r>
        <w:rPr>
          <w:rStyle w:val="VerbatimChar"/>
        </w:rPr>
        <w:t xml:space="preserve">p70_rules_canonical.json</w:t>
      </w:r>
      <w:r>
        <w:t xml:space="preserve">. The full 210-rule set and 24-alternative comparison are reproducible via </w:t>
      </w:r>
      <w:r>
        <w:rPr>
          <w:rStyle w:val="VerbatimChar"/>
        </w:rPr>
        <w:t xml:space="preserve">p70_grammar_validation.py</w:t>
      </w:r>
      <w:r>
        <w:t xml:space="preserve"> (under 60 seconds, NumPy and SciPy only).</w:t>
      </w:r>
    </w:p>
    <w:bookmarkEnd w:id="23"/>
    <w:bookmarkEnd w:id="24"/>
    <w:bookmarkStart w:id="29" w:name="s1.2-slot-inventories"/>
    <w:p>
      <w:pPr>
        <w:pStyle w:val="Heading2"/>
      </w:pPr>
      <w:r>
        <w:t xml:space="preserve">S1.2 Slot Inventories</w:t>
      </w:r>
    </w:p>
    <w:bookmarkStart w:id="25" w:name="prefix-slot-8-types"/>
    <w:p>
      <w:pPr>
        <w:pStyle w:val="Heading3"/>
      </w:pPr>
      <w:r>
        <w:t xml:space="preserve">Prefix Slot (8 types + ∅)</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Prefix</w:t>
            </w:r>
          </w:p>
        </w:tc>
        <w:tc>
          <w:tcPr/>
          <w:p>
            <w:pPr>
              <w:pStyle w:val="Compact"/>
              <w:jc w:val="left"/>
            </w:pPr>
            <w:r>
              <w:t xml:space="preserve">Frequency</w:t>
            </w:r>
          </w:p>
        </w:tc>
        <w:tc>
          <w:tcPr/>
          <w:p>
            <w:pPr>
              <w:pStyle w:val="Compact"/>
              <w:jc w:val="left"/>
            </w:pPr>
            <w:r>
              <w:t xml:space="preserve">% of corpus</w:t>
            </w:r>
          </w:p>
        </w:tc>
        <w:tc>
          <w:tcPr/>
          <w:p>
            <w:pPr>
              <w:pStyle w:val="Compact"/>
              <w:jc w:val="left"/>
            </w:pPr>
            <w:r>
              <w:t xml:space="preserve">Notes</w:t>
            </w:r>
          </w:p>
        </w:tc>
      </w:tr>
      <w:tr>
        <w:tc>
          <w:tcPr/>
          <w:p>
            <w:pPr>
              <w:pStyle w:val="Compact"/>
              <w:jc w:val="left"/>
            </w:pPr>
            <w:r>
              <w:t xml:space="preserve">∅</w:t>
            </w:r>
          </w:p>
        </w:tc>
        <w:tc>
          <w:tcPr/>
          <w:p>
            <w:pPr>
              <w:pStyle w:val="Compact"/>
              <w:jc w:val="left"/>
            </w:pPr>
            <w:r>
              <w:t xml:space="preserve">11,842</w:t>
            </w:r>
          </w:p>
        </w:tc>
        <w:tc>
          <w:tcPr/>
          <w:p>
            <w:pPr>
              <w:pStyle w:val="Compact"/>
              <w:jc w:val="left"/>
            </w:pPr>
            <w:r>
              <w:t xml:space="preserve">31.6%</w:t>
            </w:r>
          </w:p>
        </w:tc>
        <w:tc>
          <w:tcPr/>
          <w:p>
            <w:pPr>
              <w:pStyle w:val="Compact"/>
              <w:jc w:val="left"/>
            </w:pPr>
            <w:r>
              <w:t xml:space="preserve">Empty prefix (default)</w:t>
            </w:r>
          </w:p>
        </w:tc>
      </w:tr>
      <w:tr>
        <w:tc>
          <w:tcPr/>
          <w:p>
            <w:pPr>
              <w:pStyle w:val="Compact"/>
              <w:jc w:val="left"/>
            </w:pPr>
            <w:r>
              <w:t xml:space="preserve">ch</w:t>
            </w:r>
          </w:p>
        </w:tc>
        <w:tc>
          <w:tcPr/>
          <w:p>
            <w:pPr>
              <w:pStyle w:val="Compact"/>
              <w:jc w:val="left"/>
            </w:pPr>
            <w:r>
              <w:t xml:space="preserve">7,126</w:t>
            </w:r>
          </w:p>
        </w:tc>
        <w:tc>
          <w:tcPr/>
          <w:p>
            <w:pPr>
              <w:pStyle w:val="Compact"/>
              <w:jc w:val="left"/>
            </w:pPr>
            <w:r>
              <w:t xml:space="preserve">19.0%</w:t>
            </w:r>
          </w:p>
        </w:tc>
        <w:tc>
          <w:tcPr/>
          <w:p>
            <w:pPr>
              <w:pStyle w:val="Compact"/>
              <w:jc w:val="left"/>
            </w:pPr>
            <w:r>
              <w:t xml:space="preserve">Reclassified from gallows</w:t>
            </w:r>
          </w:p>
        </w:tc>
      </w:tr>
      <w:tr>
        <w:tc>
          <w:tcPr/>
          <w:p>
            <w:pPr>
              <w:pStyle w:val="Compact"/>
              <w:jc w:val="left"/>
            </w:pPr>
            <w:r>
              <w:t xml:space="preserve">qo</w:t>
            </w:r>
          </w:p>
        </w:tc>
        <w:tc>
          <w:tcPr/>
          <w:p>
            <w:pPr>
              <w:pStyle w:val="Compact"/>
              <w:jc w:val="left"/>
            </w:pPr>
            <w:r>
              <w:t xml:space="preserve">5,489</w:t>
            </w:r>
          </w:p>
        </w:tc>
        <w:tc>
          <w:tcPr/>
          <w:p>
            <w:pPr>
              <w:pStyle w:val="Compact"/>
              <w:jc w:val="left"/>
            </w:pPr>
            <w:r>
              <w:t xml:space="preserve">14.7%</w:t>
            </w:r>
          </w:p>
        </w:tc>
        <w:tc>
          <w:tcPr/>
          <w:p>
            <w:pPr>
              <w:pStyle w:val="Compact"/>
              <w:jc w:val="left"/>
            </w:pPr>
            <w:r>
              <w:t xml:space="preserve">Always precedes gallows</w:t>
            </w:r>
          </w:p>
        </w:tc>
      </w:tr>
      <w:tr>
        <w:tc>
          <w:tcPr/>
          <w:p>
            <w:pPr>
              <w:pStyle w:val="Compact"/>
              <w:jc w:val="left"/>
            </w:pPr>
            <w:r>
              <w:t xml:space="preserve">sh</w:t>
            </w:r>
          </w:p>
        </w:tc>
        <w:tc>
          <w:tcPr/>
          <w:p>
            <w:pPr>
              <w:pStyle w:val="Compact"/>
              <w:jc w:val="left"/>
            </w:pPr>
            <w:r>
              <w:t xml:space="preserve">4,203</w:t>
            </w:r>
          </w:p>
        </w:tc>
        <w:tc>
          <w:tcPr/>
          <w:p>
            <w:pPr>
              <w:pStyle w:val="Compact"/>
              <w:jc w:val="left"/>
            </w:pPr>
            <w:r>
              <w:t xml:space="preserve">11.2%</w:t>
            </w:r>
          </w:p>
        </w:tc>
        <w:tc>
          <w:tcPr/>
          <w:p>
            <w:pPr>
              <w:pStyle w:val="Compact"/>
              <w:jc w:val="left"/>
            </w:pPr>
            <w:r>
              <w:t xml:space="preserve">Reclassified from gallows</w:t>
            </w:r>
          </w:p>
        </w:tc>
      </w:tr>
      <w:tr>
        <w:tc>
          <w:tcPr/>
          <w:p>
            <w:pPr>
              <w:pStyle w:val="Compact"/>
              <w:jc w:val="left"/>
            </w:pPr>
            <w:r>
              <w:t xml:space="preserve">o</w:t>
            </w:r>
          </w:p>
        </w:tc>
        <w:tc>
          <w:tcPr/>
          <w:p>
            <w:pPr>
              <w:pStyle w:val="Compact"/>
              <w:jc w:val="left"/>
            </w:pPr>
            <w:r>
              <w:t xml:space="preserve">3,891</w:t>
            </w:r>
          </w:p>
        </w:tc>
        <w:tc>
          <w:tcPr/>
          <w:p>
            <w:pPr>
              <w:pStyle w:val="Compact"/>
              <w:jc w:val="left"/>
            </w:pPr>
            <w:r>
              <w:t xml:space="preserve">10.4%</w:t>
            </w:r>
          </w:p>
        </w:tc>
        <w:tc>
          <w:tcPr/>
          <w:p>
            <w:pPr>
              <w:pStyle w:val="Compact"/>
            </w:pPr>
          </w:p>
        </w:tc>
      </w:tr>
      <w:tr>
        <w:tc>
          <w:tcPr/>
          <w:p>
            <w:pPr>
              <w:pStyle w:val="Compact"/>
              <w:jc w:val="left"/>
            </w:pPr>
            <w:r>
              <w:t xml:space="preserve">d</w:t>
            </w:r>
          </w:p>
        </w:tc>
        <w:tc>
          <w:tcPr/>
          <w:p>
            <w:pPr>
              <w:pStyle w:val="Compact"/>
              <w:jc w:val="left"/>
            </w:pPr>
            <w:r>
              <w:t xml:space="preserve">2,876</w:t>
            </w:r>
          </w:p>
        </w:tc>
        <w:tc>
          <w:tcPr/>
          <w:p>
            <w:pPr>
              <w:pStyle w:val="Compact"/>
              <w:jc w:val="left"/>
            </w:pPr>
            <w:r>
              <w:t xml:space="preserve">7.7%</w:t>
            </w:r>
          </w:p>
        </w:tc>
        <w:tc>
          <w:tcPr/>
          <w:p>
            <w:pPr>
              <w:pStyle w:val="Compact"/>
              <w:jc w:val="left"/>
            </w:pPr>
            <w:r>
              <w:t xml:space="preserve">Elevated at line boundaries</w:t>
            </w:r>
          </w:p>
        </w:tc>
      </w:tr>
      <w:tr>
        <w:tc>
          <w:tcPr/>
          <w:p>
            <w:pPr>
              <w:pStyle w:val="Compact"/>
              <w:jc w:val="left"/>
            </w:pPr>
            <w:r>
              <w:t xml:space="preserve">y</w:t>
            </w:r>
          </w:p>
        </w:tc>
        <w:tc>
          <w:tcPr/>
          <w:p>
            <w:pPr>
              <w:pStyle w:val="Compact"/>
              <w:jc w:val="left"/>
            </w:pPr>
            <w:r>
              <w:t xml:space="preserve">1,127</w:t>
            </w:r>
          </w:p>
        </w:tc>
        <w:tc>
          <w:tcPr/>
          <w:p>
            <w:pPr>
              <w:pStyle w:val="Compact"/>
              <w:jc w:val="left"/>
            </w:pPr>
            <w:r>
              <w:t xml:space="preserve">3.0%</w:t>
            </w:r>
          </w:p>
        </w:tc>
        <w:tc>
          <w:tcPr/>
          <w:p>
            <w:pPr>
              <w:pStyle w:val="Compact"/>
              <w:jc w:val="left"/>
            </w:pPr>
            <w:r>
              <w:t xml:space="preserve">Line-initial marker</w:t>
            </w:r>
          </w:p>
        </w:tc>
      </w:tr>
      <w:tr>
        <w:tc>
          <w:tcPr/>
          <w:p>
            <w:pPr>
              <w:pStyle w:val="Compact"/>
              <w:jc w:val="left"/>
            </w:pPr>
            <w:r>
              <w:t xml:space="preserve">s</w:t>
            </w:r>
          </w:p>
        </w:tc>
        <w:tc>
          <w:tcPr/>
          <w:p>
            <w:pPr>
              <w:pStyle w:val="Compact"/>
              <w:jc w:val="left"/>
            </w:pPr>
            <w:r>
              <w:t xml:space="preserve">911</w:t>
            </w:r>
          </w:p>
        </w:tc>
        <w:tc>
          <w:tcPr/>
          <w:p>
            <w:pPr>
              <w:pStyle w:val="Compact"/>
              <w:jc w:val="left"/>
            </w:pPr>
            <w:r>
              <w:t xml:space="preserve">2.4%</w:t>
            </w:r>
          </w:p>
        </w:tc>
        <w:tc>
          <w:tcPr/>
          <w:p>
            <w:pPr>
              <w:pStyle w:val="Compact"/>
              <w:jc w:val="left"/>
            </w:pPr>
            <w:r>
              <w:t xml:space="preserve">Line-initial marker</w:t>
            </w:r>
          </w:p>
        </w:tc>
      </w:tr>
    </w:tbl>
    <w:p>
      <w:pPr>
        <w:pStyle w:val="BodyText"/>
      </w:pPr>
      <w:r>
        <w:t xml:space="preserve">The reclassification of </w:t>
      </w:r>
      <w:r>
        <w:rPr>
          <w:iCs/>
          <w:i/>
        </w:rPr>
        <w:t xml:space="preserve">ch</w:t>
      </w:r>
      <w:r>
        <w:t xml:space="preserve"> and </w:t>
      </w:r>
      <w:r>
        <w:rPr>
          <w:iCs/>
          <w:i/>
        </w:rPr>
        <w:t xml:space="preserve">sh</w:t>
      </w:r>
      <w:r>
        <w:t xml:space="preserve"> from gallows to prefix status is the most consequential boundary decision in the PGCS model, affecting 11,329 tokens (30.2%). These characters behave distributionally as prefixes: they appear at word-initial position, combine freely with following gallows characters, and affect 9,134 tokens directly (24.4%); the cascading effect on suffix boundaries means that 24,964 tokens (66.6%) parse differently under PGCS than under any three-slot alternative.</w:t>
      </w:r>
    </w:p>
    <w:bookmarkEnd w:id="25"/>
    <w:bookmarkStart w:id="26" w:name="gallows-slot-9-types"/>
    <w:p>
      <w:pPr>
        <w:pStyle w:val="Heading3"/>
      </w:pPr>
      <w:r>
        <w:t xml:space="preserve">Gallows Slot (9 types + ∅)</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Gallows</w:t>
            </w:r>
          </w:p>
        </w:tc>
        <w:tc>
          <w:tcPr/>
          <w:p>
            <w:pPr>
              <w:pStyle w:val="Compact"/>
              <w:jc w:val="left"/>
            </w:pPr>
            <w:r>
              <w:t xml:space="preserve">Frequency</w:t>
            </w:r>
          </w:p>
        </w:tc>
        <w:tc>
          <w:tcPr/>
          <w:p>
            <w:pPr>
              <w:pStyle w:val="Compact"/>
              <w:jc w:val="left"/>
            </w:pPr>
            <w:r>
              <w:t xml:space="preserve">% of corpus</w:t>
            </w:r>
          </w:p>
        </w:tc>
        <w:tc>
          <w:tcPr/>
          <w:p>
            <w:pPr>
              <w:pStyle w:val="Compact"/>
              <w:jc w:val="left"/>
            </w:pPr>
            <w:r>
              <w:t xml:space="preserve">Notes</w:t>
            </w:r>
          </w:p>
        </w:tc>
      </w:tr>
      <w:tr>
        <w:tc>
          <w:tcPr/>
          <w:p>
            <w:pPr>
              <w:pStyle w:val="Compact"/>
              <w:jc w:val="left"/>
            </w:pPr>
            <w:r>
              <w:t xml:space="preserve">∅</w:t>
            </w:r>
          </w:p>
        </w:tc>
        <w:tc>
          <w:tcPr/>
          <w:p>
            <w:pPr>
              <w:pStyle w:val="Compact"/>
              <w:jc w:val="left"/>
            </w:pPr>
            <w:r>
              <w:t xml:space="preserve">18,247</w:t>
            </w:r>
          </w:p>
        </w:tc>
        <w:tc>
          <w:tcPr/>
          <w:p>
            <w:pPr>
              <w:pStyle w:val="Compact"/>
              <w:jc w:val="left"/>
            </w:pPr>
            <w:r>
              <w:t xml:space="preserve">48.7%</w:t>
            </w:r>
          </w:p>
        </w:tc>
        <w:tc>
          <w:tcPr/>
          <w:p>
            <w:pPr>
              <w:pStyle w:val="Compact"/>
              <w:jc w:val="left"/>
            </w:pPr>
            <w:r>
              <w:t xml:space="preserve">No gallows (empty core tokens)</w:t>
            </w:r>
          </w:p>
        </w:tc>
      </w:tr>
      <w:tr>
        <w:tc>
          <w:tcPr/>
          <w:p>
            <w:pPr>
              <w:pStyle w:val="Compact"/>
              <w:jc w:val="left"/>
            </w:pPr>
            <w:r>
              <w:t xml:space="preserve">k</w:t>
            </w:r>
          </w:p>
        </w:tc>
        <w:tc>
          <w:tcPr/>
          <w:p>
            <w:pPr>
              <w:pStyle w:val="Compact"/>
              <w:jc w:val="left"/>
            </w:pPr>
            <w:r>
              <w:t xml:space="preserve">7,892</w:t>
            </w:r>
          </w:p>
        </w:tc>
        <w:tc>
          <w:tcPr/>
          <w:p>
            <w:pPr>
              <w:pStyle w:val="Compact"/>
              <w:jc w:val="left"/>
            </w:pPr>
            <w:r>
              <w:t xml:space="preserve">21.1%</w:t>
            </w:r>
          </w:p>
        </w:tc>
        <w:tc>
          <w:tcPr/>
          <w:p>
            <w:pPr>
              <w:pStyle w:val="Compact"/>
              <w:jc w:val="left"/>
            </w:pPr>
            <w:r>
              <w:t xml:space="preserve">Most frequent gallows</w:t>
            </w:r>
          </w:p>
        </w:tc>
      </w:tr>
      <w:tr>
        <w:tc>
          <w:tcPr/>
          <w:p>
            <w:pPr>
              <w:pStyle w:val="Compact"/>
              <w:jc w:val="left"/>
            </w:pPr>
            <w:r>
              <w:t xml:space="preserve">t</w:t>
            </w:r>
          </w:p>
        </w:tc>
        <w:tc>
          <w:tcPr/>
          <w:p>
            <w:pPr>
              <w:pStyle w:val="Compact"/>
              <w:jc w:val="left"/>
            </w:pPr>
            <w:r>
              <w:t xml:space="preserve">5,641</w:t>
            </w:r>
          </w:p>
        </w:tc>
        <w:tc>
          <w:tcPr/>
          <w:p>
            <w:pPr>
              <w:pStyle w:val="Compact"/>
              <w:jc w:val="left"/>
            </w:pPr>
            <w:r>
              <w:t xml:space="preserve">15.1%</w:t>
            </w:r>
          </w:p>
        </w:tc>
        <w:tc>
          <w:tcPr/>
          <w:p>
            <w:pPr>
              <w:pStyle w:val="Compact"/>
            </w:pPr>
          </w:p>
        </w:tc>
      </w:tr>
      <w:tr>
        <w:tc>
          <w:tcPr/>
          <w:p>
            <w:pPr>
              <w:pStyle w:val="Compact"/>
              <w:jc w:val="left"/>
            </w:pPr>
            <w:r>
              <w:t xml:space="preserve">p</w:t>
            </w:r>
          </w:p>
        </w:tc>
        <w:tc>
          <w:tcPr/>
          <w:p>
            <w:pPr>
              <w:pStyle w:val="Compact"/>
              <w:jc w:val="left"/>
            </w:pPr>
            <w:r>
              <w:t xml:space="preserve">2,873</w:t>
            </w:r>
          </w:p>
        </w:tc>
        <w:tc>
          <w:tcPr/>
          <w:p>
            <w:pPr>
              <w:pStyle w:val="Compact"/>
              <w:jc w:val="left"/>
            </w:pPr>
            <w:r>
              <w:t xml:space="preserve">7.7%</w:t>
            </w:r>
          </w:p>
        </w:tc>
        <w:tc>
          <w:tcPr/>
          <w:p>
            <w:pPr>
              <w:pStyle w:val="Compact"/>
              <w:jc w:val="left"/>
            </w:pPr>
            <w:r>
              <w:t xml:space="preserve">Elevated at line-initial</w:t>
            </w:r>
          </w:p>
        </w:tc>
      </w:tr>
      <w:tr>
        <w:tc>
          <w:tcPr/>
          <w:p>
            <w:pPr>
              <w:pStyle w:val="Compact"/>
              <w:jc w:val="left"/>
            </w:pPr>
            <w:r>
              <w:t xml:space="preserve">f</w:t>
            </w:r>
          </w:p>
        </w:tc>
        <w:tc>
          <w:tcPr/>
          <w:p>
            <w:pPr>
              <w:pStyle w:val="Compact"/>
              <w:jc w:val="left"/>
            </w:pPr>
            <w:r>
              <w:t xml:space="preserve">1,498</w:t>
            </w:r>
          </w:p>
        </w:tc>
        <w:tc>
          <w:tcPr/>
          <w:p>
            <w:pPr>
              <w:pStyle w:val="Compact"/>
              <w:jc w:val="left"/>
            </w:pPr>
            <w:r>
              <w:t xml:space="preserve">4.0%</w:t>
            </w:r>
          </w:p>
        </w:tc>
        <w:tc>
          <w:tcPr/>
          <w:p>
            <w:pPr>
              <w:pStyle w:val="Compact"/>
            </w:pPr>
          </w:p>
        </w:tc>
      </w:tr>
      <w:tr>
        <w:tc>
          <w:tcPr/>
          <w:p>
            <w:pPr>
              <w:pStyle w:val="Compact"/>
              <w:jc w:val="left"/>
            </w:pPr>
            <w:r>
              <w:t xml:space="preserve">ckh</w:t>
            </w:r>
          </w:p>
        </w:tc>
        <w:tc>
          <w:tcPr/>
          <w:p>
            <w:pPr>
              <w:pStyle w:val="Compact"/>
              <w:jc w:val="left"/>
            </w:pPr>
            <w:r>
              <w:t xml:space="preserve">589</w:t>
            </w:r>
          </w:p>
        </w:tc>
        <w:tc>
          <w:tcPr/>
          <w:p>
            <w:pPr>
              <w:pStyle w:val="Compact"/>
              <w:jc w:val="left"/>
            </w:pPr>
            <w:r>
              <w:t xml:space="preserve">1.6%</w:t>
            </w:r>
          </w:p>
        </w:tc>
        <w:tc>
          <w:tcPr/>
          <w:p>
            <w:pPr>
              <w:pStyle w:val="Compact"/>
              <w:jc w:val="left"/>
            </w:pPr>
            <w:r>
              <w:t xml:space="preserve">Bench variant</w:t>
            </w:r>
          </w:p>
        </w:tc>
      </w:tr>
      <w:tr>
        <w:tc>
          <w:tcPr/>
          <w:p>
            <w:pPr>
              <w:pStyle w:val="Compact"/>
              <w:jc w:val="left"/>
            </w:pPr>
            <w:r>
              <w:t xml:space="preserve">cth</w:t>
            </w:r>
          </w:p>
        </w:tc>
        <w:tc>
          <w:tcPr/>
          <w:p>
            <w:pPr>
              <w:pStyle w:val="Compact"/>
              <w:jc w:val="left"/>
            </w:pPr>
            <w:r>
              <w:t xml:space="preserve">412</w:t>
            </w:r>
          </w:p>
        </w:tc>
        <w:tc>
          <w:tcPr/>
          <w:p>
            <w:pPr>
              <w:pStyle w:val="Compact"/>
              <w:jc w:val="left"/>
            </w:pPr>
            <w:r>
              <w:t xml:space="preserve">1.1%</w:t>
            </w:r>
          </w:p>
        </w:tc>
        <w:tc>
          <w:tcPr/>
          <w:p>
            <w:pPr>
              <w:pStyle w:val="Compact"/>
              <w:jc w:val="left"/>
            </w:pPr>
            <w:r>
              <w:t xml:space="preserve">Bench variant</w:t>
            </w:r>
          </w:p>
        </w:tc>
      </w:tr>
      <w:tr>
        <w:tc>
          <w:tcPr/>
          <w:p>
            <w:pPr>
              <w:pStyle w:val="Compact"/>
              <w:jc w:val="left"/>
            </w:pPr>
            <w:r>
              <w:t xml:space="preserve">cph</w:t>
            </w:r>
          </w:p>
        </w:tc>
        <w:tc>
          <w:tcPr/>
          <w:p>
            <w:pPr>
              <w:pStyle w:val="Compact"/>
              <w:jc w:val="left"/>
            </w:pPr>
            <w:r>
              <w:t xml:space="preserve">187</w:t>
            </w:r>
          </w:p>
        </w:tc>
        <w:tc>
          <w:tcPr/>
          <w:p>
            <w:pPr>
              <w:pStyle w:val="Compact"/>
              <w:jc w:val="left"/>
            </w:pPr>
            <w:r>
              <w:t xml:space="preserve">0.5%</w:t>
            </w:r>
          </w:p>
        </w:tc>
        <w:tc>
          <w:tcPr/>
          <w:p>
            <w:pPr>
              <w:pStyle w:val="Compact"/>
              <w:jc w:val="left"/>
            </w:pPr>
            <w:r>
              <w:t xml:space="preserve">Bench variant</w:t>
            </w:r>
          </w:p>
        </w:tc>
      </w:tr>
      <w:tr>
        <w:tc>
          <w:tcPr/>
          <w:p>
            <w:pPr>
              <w:pStyle w:val="Compact"/>
              <w:jc w:val="left"/>
            </w:pPr>
            <w:r>
              <w:t xml:space="preserve">cfh</w:t>
            </w:r>
          </w:p>
        </w:tc>
        <w:tc>
          <w:tcPr/>
          <w:p>
            <w:pPr>
              <w:pStyle w:val="Compact"/>
              <w:jc w:val="left"/>
            </w:pPr>
            <w:r>
              <w:t xml:space="preserve">98</w:t>
            </w:r>
          </w:p>
        </w:tc>
        <w:tc>
          <w:tcPr/>
          <w:p>
            <w:pPr>
              <w:pStyle w:val="Compact"/>
              <w:jc w:val="left"/>
            </w:pPr>
            <w:r>
              <w:t xml:space="preserve">0.3%</w:t>
            </w:r>
          </w:p>
        </w:tc>
        <w:tc>
          <w:tcPr/>
          <w:p>
            <w:pPr>
              <w:pStyle w:val="Compact"/>
              <w:jc w:val="left"/>
            </w:pPr>
            <w:r>
              <w:t xml:space="preserve">Bench variant</w:t>
            </w:r>
          </w:p>
        </w:tc>
      </w:tr>
      <w:tr>
        <w:tc>
          <w:tcPr/>
          <w:p>
            <w:pPr>
              <w:pStyle w:val="Compact"/>
              <w:jc w:val="left"/>
            </w:pPr>
            <w:r>
              <w:t xml:space="preserve">m</w:t>
            </w:r>
          </w:p>
        </w:tc>
        <w:tc>
          <w:tcPr/>
          <w:p>
            <w:pPr>
              <w:pStyle w:val="Compact"/>
              <w:jc w:val="left"/>
            </w:pPr>
            <w:r>
              <w:t xml:space="preserve">128</w:t>
            </w:r>
          </w:p>
        </w:tc>
        <w:tc>
          <w:tcPr/>
          <w:p>
            <w:pPr>
              <w:pStyle w:val="Compact"/>
              <w:jc w:val="left"/>
            </w:pPr>
            <w:r>
              <w:t xml:space="preserve">0.3%</w:t>
            </w:r>
          </w:p>
        </w:tc>
        <w:tc>
          <w:tcPr/>
          <w:p>
            <w:pPr>
              <w:pStyle w:val="Compact"/>
              <w:jc w:val="left"/>
            </w:pPr>
            <w:r>
              <w:t xml:space="preserve">Rare</w:t>
            </w:r>
          </w:p>
        </w:tc>
      </w:tr>
    </w:tbl>
    <w:bookmarkEnd w:id="26"/>
    <w:bookmarkStart w:id="27" w:name="core-slot-open-class-2001-types"/>
    <w:p>
      <w:pPr>
        <w:pStyle w:val="Heading3"/>
      </w:pPr>
      <w:r>
        <w:t xml:space="preserve">Core Slot (open class: 2,001 types + ∅)</w:t>
      </w:r>
    </w:p>
    <w:p>
      <w:pPr>
        <w:pStyle w:val="FirstParagraph"/>
      </w:pPr>
      <w:r>
        <w:t xml:space="preserve">The core is an open-class slot with 2,001 distinct values plus the empty core. Critically, 52.7% of all tokens (19,730) have empty cores, meaning they are composed entirely from closed-class inventory items (prefix + gallows + suffix).</w:t>
      </w:r>
    </w:p>
    <w:p>
      <w:pPr>
        <w:pStyle w:val="BodyText"/>
      </w:pPr>
      <w:r>
        <w:t xml:space="preserve">Core length distribution: 0 characters (empty) 52.7%, 1 character 12.3%, 2 characters 18.1%, 3 characters 10.4%, 4+ characters 6.5%.</w:t>
      </w:r>
    </w:p>
    <w:bookmarkEnd w:id="27"/>
    <w:bookmarkStart w:id="28" w:name="suffix-slot-33-types-7-families"/>
    <w:p>
      <w:pPr>
        <w:pStyle w:val="Heading3"/>
      </w:pPr>
      <w:r>
        <w:t xml:space="preserve">Suffix Slot (33 types, 7 families)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Family</w:t>
            </w:r>
          </w:p>
        </w:tc>
        <w:tc>
          <w:tcPr/>
          <w:p>
            <w:pPr>
              <w:pStyle w:val="Compact"/>
              <w:jc w:val="left"/>
            </w:pPr>
            <w:r>
              <w:t xml:space="preserve">Members</w:t>
            </w:r>
          </w:p>
        </w:tc>
        <w:tc>
          <w:tcPr/>
          <w:p>
            <w:pPr>
              <w:pStyle w:val="Compact"/>
              <w:jc w:val="left"/>
            </w:pPr>
            <w:r>
              <w:t xml:space="preserve">Frequency</w:t>
            </w:r>
          </w:p>
        </w:tc>
        <w:tc>
          <w:tcPr/>
          <w:p>
            <w:pPr>
              <w:pStyle w:val="Compact"/>
              <w:jc w:val="left"/>
            </w:pPr>
            <w:r>
              <w:t xml:space="preserve">% of corpus</w:t>
            </w:r>
          </w:p>
        </w:tc>
      </w:tr>
      <w:tr>
        <w:tc>
          <w:tcPr/>
          <w:p>
            <w:pPr>
              <w:pStyle w:val="Compact"/>
              <w:jc w:val="left"/>
            </w:pPr>
            <w:r>
              <w:t xml:space="preserve">Y</w:t>
            </w:r>
          </w:p>
        </w:tc>
        <w:tc>
          <w:tcPr/>
          <w:p>
            <w:pPr>
              <w:pStyle w:val="Compact"/>
              <w:jc w:val="left"/>
            </w:pPr>
            <w:r>
              <w:t xml:space="preserve">y, dy, ey, ody, eey, chy, oedy, edy, eedy, oey</w:t>
            </w:r>
          </w:p>
        </w:tc>
        <w:tc>
          <w:tcPr/>
          <w:p>
            <w:pPr>
              <w:pStyle w:val="Compact"/>
              <w:jc w:val="left"/>
            </w:pPr>
            <w:r>
              <w:t xml:space="preserve">18,241</w:t>
            </w:r>
          </w:p>
        </w:tc>
        <w:tc>
          <w:tcPr/>
          <w:p>
            <w:pPr>
              <w:pStyle w:val="Compact"/>
              <w:jc w:val="left"/>
            </w:pPr>
            <w:r>
              <w:t xml:space="preserve">48.7%</w:t>
            </w:r>
          </w:p>
        </w:tc>
      </w:tr>
      <w:tr>
        <w:tc>
          <w:tcPr/>
          <w:p>
            <w:pPr>
              <w:pStyle w:val="Compact"/>
              <w:jc w:val="left"/>
            </w:pPr>
            <w:r>
              <w:t xml:space="preserve">N</w:t>
            </w:r>
          </w:p>
        </w:tc>
        <w:tc>
          <w:tcPr/>
          <w:p>
            <w:pPr>
              <w:pStyle w:val="Compact"/>
              <w:jc w:val="left"/>
            </w:pPr>
            <w:r>
              <w:t xml:space="preserve">aiin, ain, in, iin, oiin</w:t>
            </w:r>
          </w:p>
        </w:tc>
        <w:tc>
          <w:tcPr/>
          <w:p>
            <w:pPr>
              <w:pStyle w:val="Compact"/>
              <w:jc w:val="left"/>
            </w:pPr>
            <w:r>
              <w:t xml:space="preserve">8,926</w:t>
            </w:r>
          </w:p>
        </w:tc>
        <w:tc>
          <w:tcPr/>
          <w:p>
            <w:pPr>
              <w:pStyle w:val="Compact"/>
              <w:jc w:val="left"/>
            </w:pPr>
            <w:r>
              <w:t xml:space="preserve">23.8%</w:t>
            </w:r>
          </w:p>
        </w:tc>
      </w:tr>
      <w:tr>
        <w:tc>
          <w:tcPr/>
          <w:p>
            <w:pPr>
              <w:pStyle w:val="Compact"/>
              <w:jc w:val="left"/>
            </w:pPr>
            <w:r>
              <w:t xml:space="preserve">L</w:t>
            </w:r>
          </w:p>
        </w:tc>
        <w:tc>
          <w:tcPr/>
          <w:p>
            <w:pPr>
              <w:pStyle w:val="Compact"/>
              <w:jc w:val="left"/>
            </w:pPr>
            <w:r>
              <w:t xml:space="preserve">ol, al, l, oal</w:t>
            </w:r>
          </w:p>
        </w:tc>
        <w:tc>
          <w:tcPr/>
          <w:p>
            <w:pPr>
              <w:pStyle w:val="Compact"/>
              <w:jc w:val="left"/>
            </w:pPr>
            <w:r>
              <w:t xml:space="preserve">3,012</w:t>
            </w:r>
          </w:p>
        </w:tc>
        <w:tc>
          <w:tcPr/>
          <w:p>
            <w:pPr>
              <w:pStyle w:val="Compact"/>
              <w:jc w:val="left"/>
            </w:pPr>
            <w:r>
              <w:t xml:space="preserve">8.0%</w:t>
            </w:r>
          </w:p>
        </w:tc>
      </w:tr>
      <w:tr>
        <w:tc>
          <w:tcPr/>
          <w:p>
            <w:pPr>
              <w:pStyle w:val="Compact"/>
              <w:jc w:val="left"/>
            </w:pPr>
            <w:r>
              <w:t xml:space="preserve">R</w:t>
            </w:r>
          </w:p>
        </w:tc>
        <w:tc>
          <w:tcPr/>
          <w:p>
            <w:pPr>
              <w:pStyle w:val="Compact"/>
              <w:jc w:val="left"/>
            </w:pPr>
            <w:r>
              <w:t xml:space="preserve">ar, or, r</w:t>
            </w:r>
          </w:p>
        </w:tc>
        <w:tc>
          <w:tcPr/>
          <w:p>
            <w:pPr>
              <w:pStyle w:val="Compact"/>
              <w:jc w:val="left"/>
            </w:pPr>
            <w:r>
              <w:t xml:space="preserve">2,567</w:t>
            </w:r>
          </w:p>
        </w:tc>
        <w:tc>
          <w:tcPr/>
          <w:p>
            <w:pPr>
              <w:pStyle w:val="Compact"/>
              <w:jc w:val="left"/>
            </w:pPr>
            <w:r>
              <w:t xml:space="preserve">6.9%</w:t>
            </w:r>
          </w:p>
        </w:tc>
      </w:tr>
      <w:tr>
        <w:tc>
          <w:tcPr/>
          <w:p>
            <w:pPr>
              <w:pStyle w:val="Compact"/>
              <w:jc w:val="left"/>
            </w:pPr>
            <w:r>
              <w:t xml:space="preserve">BARE</w:t>
            </w:r>
          </w:p>
        </w:tc>
        <w:tc>
          <w:tcPr/>
          <w:p>
            <w:pPr>
              <w:pStyle w:val="Compact"/>
              <w:jc w:val="left"/>
            </w:pPr>
            <w:r>
              <w:t xml:space="preserve">(empty)</w:t>
            </w:r>
          </w:p>
        </w:tc>
        <w:tc>
          <w:tcPr/>
          <w:p>
            <w:pPr>
              <w:pStyle w:val="Compact"/>
              <w:jc w:val="left"/>
            </w:pPr>
            <w:r>
              <w:t xml:space="preserve">2,891</w:t>
            </w:r>
          </w:p>
        </w:tc>
        <w:tc>
          <w:tcPr/>
          <w:p>
            <w:pPr>
              <w:pStyle w:val="Compact"/>
              <w:jc w:val="left"/>
            </w:pPr>
            <w:r>
              <w:t xml:space="preserve">7.7%</w:t>
            </w:r>
          </w:p>
        </w:tc>
      </w:tr>
      <w:tr>
        <w:tc>
          <w:tcPr/>
          <w:p>
            <w:pPr>
              <w:pStyle w:val="Compact"/>
              <w:jc w:val="left"/>
            </w:pPr>
            <w:r>
              <w:t xml:space="preserve">M</w:t>
            </w:r>
          </w:p>
        </w:tc>
        <w:tc>
          <w:tcPr/>
          <w:p>
            <w:pPr>
              <w:pStyle w:val="Compact"/>
              <w:jc w:val="left"/>
            </w:pPr>
            <w:r>
              <w:t xml:space="preserve">am, om, m</w:t>
            </w:r>
          </w:p>
        </w:tc>
        <w:tc>
          <w:tcPr/>
          <w:p>
            <w:pPr>
              <w:pStyle w:val="Compact"/>
              <w:jc w:val="left"/>
            </w:pPr>
            <w:r>
              <w:t xml:space="preserve">1,234</w:t>
            </w:r>
          </w:p>
        </w:tc>
        <w:tc>
          <w:tcPr/>
          <w:p>
            <w:pPr>
              <w:pStyle w:val="Compact"/>
              <w:jc w:val="left"/>
            </w:pPr>
            <w:r>
              <w:t xml:space="preserve">3.3%</w:t>
            </w:r>
          </w:p>
        </w:tc>
      </w:tr>
      <w:tr>
        <w:tc>
          <w:tcPr/>
          <w:p>
            <w:pPr>
              <w:pStyle w:val="Compact"/>
              <w:jc w:val="left"/>
            </w:pPr>
            <w:r>
              <w:t xml:space="preserve">S</w:t>
            </w:r>
          </w:p>
        </w:tc>
        <w:tc>
          <w:tcPr/>
          <w:p>
            <w:pPr>
              <w:pStyle w:val="Compact"/>
              <w:jc w:val="left"/>
            </w:pPr>
            <w:r>
              <w:t xml:space="preserve">os, as, es, s</w:t>
            </w:r>
          </w:p>
        </w:tc>
        <w:tc>
          <w:tcPr/>
          <w:p>
            <w:pPr>
              <w:pStyle w:val="Compact"/>
              <w:jc w:val="left"/>
            </w:pPr>
            <w:r>
              <w:t xml:space="preserve">594</w:t>
            </w:r>
          </w:p>
        </w:tc>
        <w:tc>
          <w:tcPr/>
          <w:p>
            <w:pPr>
              <w:pStyle w:val="Compact"/>
              <w:jc w:val="left"/>
            </w:pPr>
            <w:r>
              <w:t xml:space="preserve">1.6%</w:t>
            </w:r>
          </w:p>
        </w:tc>
      </w:tr>
    </w:tbl>
    <w:p>
      <w:pPr>
        <w:pStyle w:val="BodyText"/>
      </w:pPr>
      <w:r>
        <w:t xml:space="preserve">The suffix-family abstraction reduces 33 full suffixes to 7 families. The vowel-prefix component of each suffix carries 45% of full suffix entropy and 85% of section-specific information, while the terminal carries structural information. The family level captures grammar; the discarded variation is content.</w:t>
      </w:r>
    </w:p>
    <w:bookmarkEnd w:id="28"/>
    <w:bookmarkEnd w:id="29"/>
    <w:bookmarkStart w:id="30" w:name="s1.3-character-grammar-210-rules"/>
    <w:p>
      <w:pPr>
        <w:pStyle w:val="Heading2"/>
      </w:pPr>
      <w:r>
        <w:t xml:space="preserve">S1.3 Character Grammar (210 Rules)</w:t>
      </w:r>
    </w:p>
    <w:p>
      <w:pPr>
        <w:pStyle w:val="FirstParagraph"/>
      </w:pPr>
      <w:r>
        <w:t xml:space="preserve">The character grammar (P70) comprises 210 rules in four categories: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Rules</w:t>
            </w:r>
          </w:p>
        </w:tc>
        <w:tc>
          <w:tcPr/>
          <w:p>
            <w:pPr>
              <w:pStyle w:val="Compact"/>
              <w:jc w:val="left"/>
            </w:pPr>
            <w:r>
              <w:t xml:space="preserve">Coverage</w:t>
            </w:r>
          </w:p>
        </w:tc>
      </w:tr>
      <w:tr>
        <w:tc>
          <w:tcPr/>
          <w:p>
            <w:pPr>
              <w:pStyle w:val="Compact"/>
              <w:jc w:val="left"/>
            </w:pPr>
            <w:r>
              <w:t xml:space="preserve">Character-sequence constraints</w:t>
            </w:r>
          </w:p>
        </w:tc>
        <w:tc>
          <w:tcPr/>
          <w:p>
            <w:pPr>
              <w:pStyle w:val="Compact"/>
              <w:jc w:val="left"/>
            </w:pPr>
            <w:r>
              <w:t xml:space="preserve">81</w:t>
            </w:r>
          </w:p>
        </w:tc>
        <w:tc>
          <w:tcPr/>
          <w:p>
            <w:pPr>
              <w:pStyle w:val="Compact"/>
              <w:jc w:val="left"/>
            </w:pPr>
            <w:r>
              <w:t xml:space="preserve">Bigram legality</w:t>
            </w:r>
          </w:p>
        </w:tc>
      </w:tr>
      <w:tr>
        <w:tc>
          <w:tcPr/>
          <w:p>
            <w:pPr>
              <w:pStyle w:val="Compact"/>
              <w:jc w:val="left"/>
            </w:pPr>
            <w:r>
              <w:t xml:space="preserve">Pair-adjacency rules</w:t>
            </w:r>
          </w:p>
        </w:tc>
        <w:tc>
          <w:tcPr/>
          <w:p>
            <w:pPr>
              <w:pStyle w:val="Compact"/>
              <w:jc w:val="left"/>
            </w:pPr>
            <w:r>
              <w:t xml:space="preserve">52</w:t>
            </w:r>
          </w:p>
        </w:tc>
        <w:tc>
          <w:tcPr/>
          <w:p>
            <w:pPr>
              <w:pStyle w:val="Compact"/>
              <w:jc w:val="left"/>
            </w:pPr>
            <w:r>
              <w:t xml:space="preserve">Cross-boundary constraints</w:t>
            </w:r>
          </w:p>
        </w:tc>
      </w:tr>
      <w:tr>
        <w:tc>
          <w:tcPr/>
          <w:p>
            <w:pPr>
              <w:pStyle w:val="Compact"/>
              <w:jc w:val="left"/>
            </w:pPr>
            <w:r>
              <w:t xml:space="preserve">Suffix rules</w:t>
            </w:r>
          </w:p>
        </w:tc>
        <w:tc>
          <w:tcPr/>
          <w:p>
            <w:pPr>
              <w:pStyle w:val="Compact"/>
              <w:jc w:val="left"/>
            </w:pPr>
            <w:r>
              <w:t xml:space="preserve">41</w:t>
            </w:r>
          </w:p>
        </w:tc>
        <w:tc>
          <w:tcPr/>
          <w:p>
            <w:pPr>
              <w:pStyle w:val="Compact"/>
              <w:jc w:val="left"/>
            </w:pPr>
            <w:r>
              <w:t xml:space="preserve">Suffix formation</w:t>
            </w:r>
          </w:p>
        </w:tc>
      </w:tr>
      <w:tr>
        <w:tc>
          <w:tcPr/>
          <w:p>
            <w:pPr>
              <w:pStyle w:val="Compact"/>
              <w:jc w:val="left"/>
            </w:pPr>
            <w:r>
              <w:t xml:space="preserve">Prefix rules</w:t>
            </w:r>
          </w:p>
        </w:tc>
        <w:tc>
          <w:tcPr/>
          <w:p>
            <w:pPr>
              <w:pStyle w:val="Compact"/>
              <w:jc w:val="left"/>
            </w:pPr>
            <w:r>
              <w:t xml:space="preserve">36</w:t>
            </w:r>
          </w:p>
        </w:tc>
        <w:tc>
          <w:tcPr/>
          <w:p>
            <w:pPr>
              <w:pStyle w:val="Compact"/>
              <w:jc w:val="left"/>
            </w:pPr>
            <w:r>
              <w:t xml:space="preserve">Prefix combinatorics</w:t>
            </w:r>
          </w:p>
        </w:tc>
      </w:tr>
    </w:tbl>
    <w:p>
      <w:pPr>
        <w:pStyle w:val="BodyText"/>
      </w:pPr>
      <w:r>
        <w:t xml:space="preserve">Validation statistics: character coverage 92.96%, full parse rate 71.93% of word types, partial coverage 99.87%, held-out generalisation 0/3,930 novel types produce violations, decomposition error 0.001 bits (vs 1.074 bits for next-best alternative, roughly 1,000× improvement).</w:t>
      </w:r>
    </w:p>
    <w:bookmarkEnd w:id="30"/>
    <w:bookmarkStart w:id="31" w:name="s1.4-constrained-quad-inventory"/>
    <w:p>
      <w:pPr>
        <w:pStyle w:val="Heading2"/>
      </w:pPr>
      <w:r>
        <w:t xml:space="preserve">S1.4 Constrained Quad Inventory</w:t>
      </w:r>
    </w:p>
    <w:p>
      <w:pPr>
        <w:pStyle w:val="FirstParagraph"/>
      </w:pPr>
      <w:r>
        <w:t xml:space="preserve">The constrained quad inventory (PGCS-C) records the 5,172 observed quads with frequency and tier metadata.</w:t>
      </w:r>
    </w:p>
    <w:p>
      <w:pPr>
        <w:pStyle w:val="BodyText"/>
      </w:pPr>
      <w:r>
        <w:t xml:space="preserve">From a theoretical space of 656,208 possible combinations (8 prefixes × 9 gallows × 2,001 cores × 7 suffix families), only 5,172 (0.79%) are observed — a 127× compression.</w:t>
      </w:r>
    </w:p>
    <w:p>
      <w:pPr>
        <w:pStyle w:val="BodyText"/>
      </w:pPr>
      <w:r>
        <w:t xml:space="preserve">Tier distribution: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Tier</w:t>
            </w:r>
          </w:p>
        </w:tc>
        <w:tc>
          <w:tcPr/>
          <w:p>
            <w:pPr>
              <w:pStyle w:val="Compact"/>
              <w:jc w:val="left"/>
            </w:pPr>
            <w:r>
              <w:t xml:space="preserve">n range</w:t>
            </w:r>
          </w:p>
        </w:tc>
        <w:tc>
          <w:tcPr/>
          <w:p>
            <w:pPr>
              <w:pStyle w:val="Compact"/>
              <w:jc w:val="left"/>
            </w:pPr>
            <w:r>
              <w:t xml:space="preserve">Quads</w:t>
            </w:r>
          </w:p>
        </w:tc>
        <w:tc>
          <w:tcPr/>
          <w:p>
            <w:pPr>
              <w:pStyle w:val="Compact"/>
              <w:jc w:val="left"/>
            </w:pPr>
            <w:r>
              <w:t xml:space="preserve">Token coverage</w:t>
            </w:r>
          </w:p>
        </w:tc>
      </w:tr>
      <w:tr>
        <w:tc>
          <w:tcPr/>
          <w:p>
            <w:pPr>
              <w:pStyle w:val="Compact"/>
              <w:jc w:val="left"/>
            </w:pPr>
            <w:r>
              <w:t xml:space="preserve">T1</w:t>
            </w:r>
          </w:p>
        </w:tc>
        <w:tc>
          <w:tcPr/>
          <w:p>
            <w:pPr>
              <w:pStyle w:val="Compact"/>
              <w:jc w:val="left"/>
            </w:pPr>
            <w:r>
              <w:t xml:space="preserve">≥50</w:t>
            </w:r>
          </w:p>
        </w:tc>
        <w:tc>
          <w:tcPr/>
          <w:p>
            <w:pPr>
              <w:pStyle w:val="Compact"/>
              <w:jc w:val="left"/>
            </w:pPr>
            <w:r>
              <w:t xml:space="preserve">118</w:t>
            </w:r>
          </w:p>
        </w:tc>
        <w:tc>
          <w:tcPr/>
          <w:p>
            <w:pPr>
              <w:pStyle w:val="Compact"/>
              <w:jc w:val="left"/>
            </w:pPr>
            <w:r>
              <w:t xml:space="preserve">61.3%</w:t>
            </w:r>
          </w:p>
        </w:tc>
      </w:tr>
      <w:tr>
        <w:tc>
          <w:tcPr/>
          <w:p>
            <w:pPr>
              <w:pStyle w:val="Compact"/>
              <w:jc w:val="left"/>
            </w:pPr>
            <w:r>
              <w:t xml:space="preserve">T2</w:t>
            </w:r>
          </w:p>
        </w:tc>
        <w:tc>
          <w:tcPr/>
          <w:p>
            <w:pPr>
              <w:pStyle w:val="Compact"/>
              <w:jc w:val="left"/>
            </w:pPr>
            <w:r>
              <w:t xml:space="preserve">10–49</w:t>
            </w:r>
          </w:p>
        </w:tc>
        <w:tc>
          <w:tcPr/>
          <w:p>
            <w:pPr>
              <w:pStyle w:val="Compact"/>
              <w:jc w:val="left"/>
            </w:pPr>
            <w:r>
              <w:t xml:space="preserve">317</w:t>
            </w:r>
          </w:p>
        </w:tc>
        <w:tc>
          <w:tcPr/>
          <w:p>
            <w:pPr>
              <w:pStyle w:val="Compact"/>
              <w:jc w:val="left"/>
            </w:pPr>
            <w:r>
              <w:t xml:space="preserve">16.3%</w:t>
            </w:r>
          </w:p>
        </w:tc>
      </w:tr>
      <w:tr>
        <w:tc>
          <w:tcPr/>
          <w:p>
            <w:pPr>
              <w:pStyle w:val="Compact"/>
              <w:jc w:val="left"/>
            </w:pPr>
            <w:r>
              <w:t xml:space="preserve">T3</w:t>
            </w:r>
          </w:p>
        </w:tc>
        <w:tc>
          <w:tcPr/>
          <w:p>
            <w:pPr>
              <w:pStyle w:val="Compact"/>
              <w:jc w:val="left"/>
            </w:pPr>
            <w:r>
              <w:t xml:space="preserve">4–9</w:t>
            </w:r>
          </w:p>
        </w:tc>
        <w:tc>
          <w:tcPr/>
          <w:p>
            <w:pPr>
              <w:pStyle w:val="Compact"/>
              <w:jc w:val="left"/>
            </w:pPr>
            <w:r>
              <w:t xml:space="preserve">511</w:t>
            </w:r>
          </w:p>
        </w:tc>
        <w:tc>
          <w:tcPr/>
          <w:p>
            <w:pPr>
              <w:pStyle w:val="Compact"/>
              <w:jc w:val="left"/>
            </w:pPr>
            <w:r>
              <w:t xml:space="preserve">7.8%</w:t>
            </w:r>
          </w:p>
        </w:tc>
      </w:tr>
      <w:tr>
        <w:tc>
          <w:tcPr/>
          <w:p>
            <w:pPr>
              <w:pStyle w:val="Compact"/>
              <w:jc w:val="left"/>
            </w:pPr>
            <w:r>
              <w:t xml:space="preserve">T4</w:t>
            </w:r>
          </w:p>
        </w:tc>
        <w:tc>
          <w:tcPr/>
          <w:p>
            <w:pPr>
              <w:pStyle w:val="Compact"/>
              <w:jc w:val="left"/>
            </w:pPr>
            <w:r>
              <w:t xml:space="preserve">1–3</w:t>
            </w:r>
          </w:p>
        </w:tc>
        <w:tc>
          <w:tcPr/>
          <w:p>
            <w:pPr>
              <w:pStyle w:val="Compact"/>
              <w:jc w:val="left"/>
            </w:pPr>
            <w:r>
              <w:t xml:space="preserve">4,226</w:t>
            </w:r>
          </w:p>
        </w:tc>
        <w:tc>
          <w:tcPr/>
          <w:p>
            <w:pPr>
              <w:pStyle w:val="Compact"/>
              <w:jc w:val="left"/>
            </w:pPr>
            <w:r>
              <w:t xml:space="preserve">14.6%</w:t>
            </w:r>
          </w:p>
        </w:tc>
      </w:tr>
    </w:tbl>
    <w:p>
      <w:pPr>
        <w:pStyle w:val="BodyText"/>
      </w:pPr>
      <w:r>
        <w:t xml:space="preserve">T1+T2 (435 entries, 77.6% of tokens) constitute the generalisable grammar. T4 entries are the observed lexicon: hapax quads that represent individual content words.</w:t>
      </w:r>
    </w:p>
    <w:bookmarkEnd w:id="31"/>
    <w:bookmarkStart w:id="32" w:name="s1.5-position-conditioned-quint-layer"/>
    <w:p>
      <w:pPr>
        <w:pStyle w:val="Heading2"/>
      </w:pPr>
      <w:r>
        <w:t xml:space="preserve">S1.5 Position-Conditioned Quint Layer</w:t>
      </w:r>
    </w:p>
    <w:p>
      <w:pPr>
        <w:pStyle w:val="FirstParagraph"/>
      </w:pPr>
      <w:r>
        <w:t xml:space="preserve">Adding line position (FIRST/MID/LAST) as a fifth axis produces 6,750 observed quintuples from a theoretical space of 1,968,624 — a 292× compression.</w:t>
      </w:r>
    </w:p>
    <w:p>
      <w:pPr>
        <w:pStyle w:val="BodyText"/>
      </w:pPr>
      <w:r>
        <w:t xml:space="preserve">Position conditioning eliminates 58.6% of spurious (token, position) assignments: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Position</w:t>
            </w:r>
          </w:p>
        </w:tc>
        <w:tc>
          <w:tcPr/>
          <w:p>
            <w:pPr>
              <w:pStyle w:val="Compact"/>
              <w:jc w:val="left"/>
            </w:pPr>
            <w:r>
              <w:t xml:space="preserve">Valid quads</w:t>
            </w:r>
          </w:p>
        </w:tc>
        <w:tc>
          <w:tcPr/>
          <w:p>
            <w:pPr>
              <w:pStyle w:val="Compact"/>
              <w:jc w:val="left"/>
            </w:pPr>
            <w:r>
              <w:t xml:space="preserve">Eliminated</w:t>
            </w:r>
          </w:p>
        </w:tc>
        <w:tc>
          <w:tcPr/>
          <w:p>
            <w:pPr>
              <w:pStyle w:val="Compact"/>
              <w:jc w:val="left"/>
            </w:pPr>
            <w:r>
              <w:t xml:space="preserve">Reduction</w:t>
            </w:r>
          </w:p>
        </w:tc>
      </w:tr>
      <w:tr>
        <w:tc>
          <w:tcPr/>
          <w:p>
            <w:pPr>
              <w:pStyle w:val="Compact"/>
              <w:jc w:val="left"/>
            </w:pPr>
            <w:r>
              <w:t xml:space="preserve">FIRST</w:t>
            </w:r>
          </w:p>
        </w:tc>
        <w:tc>
          <w:tcPr/>
          <w:p>
            <w:pPr>
              <w:pStyle w:val="Compact"/>
              <w:jc w:val="left"/>
            </w:pPr>
            <w:r>
              <w:t xml:space="preserve">1,830</w:t>
            </w:r>
          </w:p>
        </w:tc>
        <w:tc>
          <w:tcPr/>
          <w:p>
            <w:pPr>
              <w:pStyle w:val="Compact"/>
              <w:jc w:val="left"/>
            </w:pPr>
            <w:r>
              <w:t xml:space="preserve">3,342</w:t>
            </w:r>
          </w:p>
        </w:tc>
        <w:tc>
          <w:tcPr/>
          <w:p>
            <w:pPr>
              <w:pStyle w:val="Compact"/>
              <w:jc w:val="left"/>
            </w:pPr>
            <w:r>
              <w:t xml:space="preserve">64.6%</w:t>
            </w:r>
          </w:p>
        </w:tc>
      </w:tr>
      <w:tr>
        <w:tc>
          <w:tcPr/>
          <w:p>
            <w:pPr>
              <w:pStyle w:val="Compact"/>
              <w:jc w:val="left"/>
            </w:pPr>
            <w:r>
              <w:t xml:space="preserve">MID</w:t>
            </w:r>
          </w:p>
        </w:tc>
        <w:tc>
          <w:tcPr/>
          <w:p>
            <w:pPr>
              <w:pStyle w:val="Compact"/>
              <w:jc w:val="left"/>
            </w:pPr>
            <w:r>
              <w:t xml:space="preserve">3,458</w:t>
            </w:r>
          </w:p>
        </w:tc>
        <w:tc>
          <w:tcPr/>
          <w:p>
            <w:pPr>
              <w:pStyle w:val="Compact"/>
              <w:jc w:val="left"/>
            </w:pPr>
            <w:r>
              <w:t xml:space="preserve">1,714</w:t>
            </w:r>
          </w:p>
        </w:tc>
        <w:tc>
          <w:tcPr/>
          <w:p>
            <w:pPr>
              <w:pStyle w:val="Compact"/>
              <w:jc w:val="left"/>
            </w:pPr>
            <w:r>
              <w:t xml:space="preserve">33.1%</w:t>
            </w:r>
          </w:p>
        </w:tc>
      </w:tr>
      <w:tr>
        <w:tc>
          <w:tcPr/>
          <w:p>
            <w:pPr>
              <w:pStyle w:val="Compact"/>
              <w:jc w:val="left"/>
            </w:pPr>
            <w:r>
              <w:t xml:space="preserve">LAST</w:t>
            </w:r>
          </w:p>
        </w:tc>
        <w:tc>
          <w:tcPr/>
          <w:p>
            <w:pPr>
              <w:pStyle w:val="Compact"/>
              <w:jc w:val="left"/>
            </w:pPr>
            <w:r>
              <w:t xml:space="preserve">1,462</w:t>
            </w:r>
          </w:p>
        </w:tc>
        <w:tc>
          <w:tcPr/>
          <w:p>
            <w:pPr>
              <w:pStyle w:val="Compact"/>
              <w:jc w:val="left"/>
            </w:pPr>
            <w:r>
              <w:t xml:space="preserve">3,710</w:t>
            </w:r>
          </w:p>
        </w:tc>
        <w:tc>
          <w:tcPr/>
          <w:p>
            <w:pPr>
              <w:pStyle w:val="Compact"/>
              <w:jc w:val="left"/>
            </w:pPr>
            <w:r>
              <w:t xml:space="preserve">71.7%</w:t>
            </w:r>
          </w:p>
        </w:tc>
      </w:tr>
    </w:tbl>
    <w:p>
      <w:pPr>
        <w:pStyle w:val="BodyText"/>
      </w:pPr>
      <w:r>
        <w:t xml:space="preserve">This is placement precision (constraining where tokens appear), not vocabulary precision (which tokens exist). The vocabulary is unchanged by position conditioning.</w:t>
      </w:r>
    </w:p>
    <w:bookmarkEnd w:id="32"/>
    <w:bookmarkStart w:id="37" w:name="s1.6-ledger-compactness"/>
    <w:p>
      <w:pPr>
        <w:pStyle w:val="Heading2"/>
      </w:pPr>
      <w:r>
        <w:t xml:space="preserve">S1.6 Ledger Compactness</w:t>
      </w:r>
    </w:p>
    <w:p>
      <w:pPr>
        <w:pStyle w:val="FirstParagraph"/>
      </w:pPr>
      <w:r>
        <w:t>The PGCS grammar can be expressed as a compact reference table — a “ledger” — small enough to fit on a single manuscript page. This section derives the component count cited in §2.4 of the main paper.</w:t>
      </w:r>
    </w:p>
    <w:bookmarkStart w:id="33" w:name="component-inventory"/>
    <w:p>
      <w:pPr>
        <w:pStyle w:val="Heading3"/>
      </w:pPr>
      <w:r>
        <w:t xml:space="preserve">Component Inventory</w:t>
      </w:r>
    </w:p>
    <w:tbl>
      <w:tblPr>
        <w:tblStyle w:val="Table"/>
        <w:tblW w:type="pct" w:w="5000"/>
        <w:tblLook w:firstRow="1" w:lastRow="0" w:firstColumn="0" w:lastColumn="0" w:noHBand="0" w:noVBand="0" w:val="0020"/>
        <w:jc w:val="start"/>
      </w:tblPr>
      <w:tblGrid>
        <w:gridCol w:w="2420"/>
        <w:gridCol w:w="1980"/>
        <w:gridCol w:w="3520"/>
      </w:tblGrid>
      <w:tr>
        <w:trPr>
          <w:tblHeader w:val="true"/>
        </w:trPr>
        <w:tc>
          <w:tcPr/>
          <w:p>
            <w:pPr>
              <w:pStyle w:val="Compact"/>
              <w:jc w:val="left"/>
            </w:pPr>
            <w:r>
              <w:t xml:space="preserve">Component</w:t>
            </w:r>
          </w:p>
        </w:tc>
        <w:tc>
          <w:tcPr/>
          <w:p>
            <w:pPr>
              <w:pStyle w:val="Compact"/>
              <w:jc w:val="left"/>
            </w:pPr>
            <w:r>
              <w:t xml:space="preserve">Entries</w:t>
            </w:r>
          </w:p>
        </w:tc>
        <w:tc>
          <w:tcPr/>
          <w:p>
            <w:pPr>
              <w:pStyle w:val="Compact"/>
              <w:jc w:val="left"/>
            </w:pPr>
            <w:r>
              <w:t xml:space="preserve">What it encodes</w:t>
            </w:r>
          </w:p>
        </w:tc>
      </w:tr>
      <w:tr>
        <w:tc>
          <w:tcPr/>
          <w:p>
            <w:pPr>
              <w:pStyle w:val="Compact"/>
              <w:jc w:val="left"/>
            </w:pPr>
            <w:r>
              <w:t xml:space="preserve">Character alphabet</w:t>
            </w:r>
          </w:p>
        </w:tc>
        <w:tc>
          <w:tcPr/>
          <w:p>
            <w:pPr>
              <w:pStyle w:val="Compact"/>
              <w:jc w:val="left"/>
            </w:pPr>
            <w:r>
              <w:t xml:space="preserve">25</w:t>
            </w:r>
          </w:p>
        </w:tc>
        <w:tc>
          <w:tcPr/>
          <w:p>
            <w:pPr>
              <w:pStyle w:val="Compact"/>
              <w:jc w:val="left"/>
            </w:pPr>
            <w:r>
              <w:t xml:space="preserve">EVA glyph inventory</w:t>
            </w:r>
          </w:p>
        </w:tc>
      </w:tr>
      <w:tr>
        <w:tc>
          <w:tcPr/>
          <w:p>
            <w:pPr>
              <w:pStyle w:val="Compact"/>
              <w:jc w:val="left"/>
            </w:pPr>
            <w:r>
              <w:t xml:space="preserve">Prefix × Gallows pairs</w:t>
            </w:r>
          </w:p>
        </w:tc>
        <w:tc>
          <w:tcPr/>
          <w:p>
            <w:pPr>
              <w:pStyle w:val="Compact"/>
              <w:jc w:val="left"/>
            </w:pPr>
            <w:r>
              <w:t xml:space="preserve">65</w:t>
            </w:r>
          </w:p>
        </w:tc>
        <w:tc>
          <w:tcPr/>
          <w:p>
            <w:pPr>
              <w:pStyle w:val="Compact"/>
              <w:jc w:val="left"/>
            </w:pPr>
            <w:r>
              <w:t xml:space="preserve">Legal slot combinations (of 72 theoretical)</w:t>
            </w:r>
          </w:p>
        </w:tc>
      </w:tr>
      <w:tr>
        <w:tc>
          <w:tcPr/>
          <w:p>
            <w:pPr>
              <w:pStyle w:val="Compact"/>
              <w:jc w:val="left"/>
            </w:pPr>
            <w:r>
              <w:t xml:space="preserve">Suffix inventory (VP + terminal)</w:t>
            </w:r>
          </w:p>
        </w:tc>
        <w:tc>
          <w:tcPr/>
          <w:p>
            <w:pPr>
              <w:pStyle w:val="Compact"/>
              <w:jc w:val="left"/>
            </w:pPr>
            <w:r>
              <w:t xml:space="preserve">66</w:t>
            </w:r>
          </w:p>
        </w:tc>
        <w:tc>
          <w:tcPr/>
          <w:p>
            <w:pPr>
              <w:pStyle w:val="Compact"/>
              <w:jc w:val="left"/>
            </w:pPr>
            <w:r>
              <w:t xml:space="preserve">33 suffixes decomposed into vowel-prefix and terminal components</w:t>
            </w:r>
          </w:p>
        </w:tc>
      </w:tr>
      <w:tr>
        <w:tc>
          <w:tcPr/>
          <w:p>
            <w:pPr>
              <w:pStyle w:val="Compact"/>
              <w:jc w:val="left"/>
            </w:pPr>
            <w:r>
              <w:t xml:space="preserve">Suffix-family transition weights</w:t>
            </w:r>
          </w:p>
        </w:tc>
        <w:tc>
          <w:tcPr/>
          <w:p>
            <w:pPr>
              <w:pStyle w:val="Compact"/>
              <w:jc w:val="left"/>
            </w:pPr>
            <w:r>
              <w:t xml:space="preserve">56</w:t>
            </w:r>
          </w:p>
        </w:tc>
        <w:tc>
          <w:tcPr/>
          <w:p>
            <w:pPr>
              <w:pStyle w:val="Compact"/>
              <w:jc w:val="left"/>
            </w:pPr>
            <w:r>
              <w:t xml:space="preserve">Non-zero cells in the 7-family × 8-prefix transition matrix</w:t>
            </w:r>
          </w:p>
        </w:tc>
      </w:tr>
      <w:tr>
        <w:tc>
          <w:tcPr/>
          <w:p>
            <w:pPr>
              <w:pStyle w:val="Compact"/>
              <w:jc w:val="left"/>
            </w:pPr>
            <w:r>
              <w:t xml:space="preserve">Core character bigrams</w:t>
            </w:r>
          </w:p>
        </w:tc>
        <w:tc>
          <w:tcPr/>
          <w:p>
            <w:pPr>
              <w:pStyle w:val="Compact"/>
              <w:jc w:val="left"/>
            </w:pPr>
            <w:r>
              <w:t xml:space="preserve">231</w:t>
            </w:r>
          </w:p>
        </w:tc>
        <w:tc>
          <w:tcPr/>
          <w:p>
            <w:pPr>
              <w:pStyle w:val="Compact"/>
              <w:jc w:val="left"/>
            </w:pPr>
            <w:r>
              <w:t xml:space="preserve">Legal character pairs within core slot</w:t>
            </w:r>
          </w:p>
        </w:tc>
      </w:tr>
      <w:tr>
        <w:tc>
          <w:tcPr/>
          <w:p>
            <w:pPr>
              <w:pStyle w:val="Compact"/>
              <w:jc w:val="left"/>
            </w:pPr>
            <w:r>
              <w:rPr>
                <w:bCs/>
                <w:b/>
              </w:rPr>
              <w:t xml:space="preserve">Total</w:t>
            </w:r>
          </w:p>
        </w:tc>
        <w:tc>
          <w:tcPr/>
          <w:p>
            <w:pPr>
              <w:pStyle w:val="Compact"/>
              <w:jc w:val="left"/>
            </w:pPr>
            <w:r>
              <w:rPr>
                <w:bCs/>
                <w:b/>
              </w:rPr>
              <w:t xml:space="preserve">443</w:t>
            </w:r>
          </w:p>
        </w:tc>
        <w:tc>
          <w:tcPr/>
          <w:p>
            <w:pPr>
              <w:pStyle w:val="Compact"/>
            </w:pPr>
          </w:p>
        </w:tc>
      </w:tr>
    </w:tbl>
    <w:p>
      <w:pPr>
        <w:pStyle w:val="BodyText"/>
      </w:pPr>
      <w:r>
        <w:t xml:space="preserve">The 231 core bigrams represent all attested two-character sequences within the core slot. These encode the character grammar’s core-internal constraints: which characters can follow which within the open-class slot. Combined with the prefix, gallows, and suffix inventories, they define the complete set of character-level legality constraints equivalent to the 210 rules documented in S1.3.</w:t>
      </w:r>
    </w:p>
    <w:bookmarkEnd w:id="33"/>
    <w:bookmarkStart w:id="34" w:name="page-capacity-comparison"/>
    <w:p>
      <w:pPr>
        <w:pStyle w:val="Heading3"/>
      </w:pPr>
      <w:r>
        <w:t xml:space="preserve">Page Capacity Comparison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Measure</w:t>
            </w:r>
          </w:p>
        </w:tc>
        <w:tc>
          <w:tcPr/>
          <w:p>
            <w:pPr>
              <w:pStyle w:val="Compact"/>
              <w:jc w:val="left"/>
            </w:pPr>
            <w:r>
              <w:t xml:space="preserve">Value</w:t>
            </w:r>
          </w:p>
        </w:tc>
      </w:tr>
      <w:tr>
        <w:tc>
          <w:tcPr/>
          <w:p>
            <w:pPr>
              <w:pStyle w:val="Compact"/>
              <w:jc w:val="left"/>
            </w:pPr>
            <w:r>
              <w:t xml:space="preserve">Ledger entries</w:t>
            </w:r>
          </w:p>
        </w:tc>
        <w:tc>
          <w:tcPr/>
          <w:p>
            <w:pPr>
              <w:pStyle w:val="Compact"/>
              <w:jc w:val="left"/>
            </w:pPr>
            <w:r>
              <w:t xml:space="preserve">443</w:t>
            </w:r>
          </w:p>
        </w:tc>
      </w:tr>
      <w:tr>
        <w:tc>
          <w:tcPr/>
          <w:p>
            <w:pPr>
              <w:pStyle w:val="Compact"/>
              <w:jc w:val="left"/>
            </w:pPr>
            <w:r>
              <w:t xml:space="preserve">Median VMS page (characters)</w:t>
            </w:r>
          </w:p>
        </w:tc>
        <w:tc>
          <w:tcPr/>
          <w:p>
            <w:pPr>
              <w:pStyle w:val="Compact"/>
              <w:jc w:val="left"/>
            </w:pPr>
            <w:r>
              <w:t xml:space="preserve">491</w:t>
            </w:r>
          </w:p>
        </w:tc>
      </w:tr>
      <w:tr>
        <w:tc>
          <w:tcPr/>
          <w:p>
            <w:pPr>
              <w:pStyle w:val="Compact"/>
              <w:jc w:val="left"/>
            </w:pPr>
            <w:r>
              <w:t xml:space="preserve">Mean VMS page (characters)</w:t>
            </w:r>
          </w:p>
        </w:tc>
        <w:tc>
          <w:tcPr/>
          <w:p>
            <w:pPr>
              <w:pStyle w:val="Compact"/>
              <w:jc w:val="left"/>
            </w:pPr>
            <w:r>
              <w:t xml:space="preserve">826</w:t>
            </w:r>
          </w:p>
        </w:tc>
      </w:tr>
      <w:tr>
        <w:tc>
          <w:tcPr/>
          <w:p>
            <w:pPr>
              <w:pStyle w:val="Compact"/>
              <w:jc w:val="left"/>
            </w:pPr>
            <w:r>
              <w:t xml:space="preserve">Ledger as % of median page</w:t>
            </w:r>
          </w:p>
        </w:tc>
        <w:tc>
          <w:tcPr/>
          <w:p>
            <w:pPr>
              <w:pStyle w:val="Compact"/>
              <w:jc w:val="left"/>
            </w:pPr>
            <w:r>
              <w:t xml:space="preserve">~90%</w:t>
            </w:r>
          </w:p>
        </w:tc>
      </w:tr>
      <w:tr>
        <w:tc>
          <w:tcPr/>
          <w:p>
            <w:pPr>
              <w:pStyle w:val="Compact"/>
              <w:jc w:val="left"/>
            </w:pPr>
            <w:r>
              <w:t xml:space="preserve">Ledger as % of mean page</w:t>
            </w:r>
          </w:p>
        </w:tc>
        <w:tc>
          <w:tcPr/>
          <w:p>
            <w:pPr>
              <w:pStyle w:val="Compact"/>
              <w:jc w:val="left"/>
            </w:pPr>
            <w:r>
              <w:t xml:space="preserve">~54%</w:t>
            </w:r>
          </w:p>
        </w:tc>
      </w:tr>
    </w:tbl>
    <w:p>
      <w:pPr>
        <w:pStyle w:val="BodyText"/>
      </w:pPr>
      <w:r>
        <w:t>A single densely-written page can accommodate the full grammar specification. The “approximately 450 table entries” figure cited in the main paper rounds up from 443 to account for formatting overhead that a practical reference table would require.</w:t>
      </w:r>
    </w:p>
    <w:bookmarkEnd w:id="34"/>
    <w:bookmarkStart w:id="35" w:name="what-the-ledger-does-not-contain"/>
    <w:p>
      <w:pPr>
        <w:pStyle w:val="Heading3"/>
      </w:pPr>
      <w:r>
        <w:t xml:space="preserve">What the Ledger Does Not Contain</w:t>
      </w:r>
    </w:p>
    <w:p>
      <w:pPr>
        <w:pStyle w:val="FirstParagraph"/>
      </w:pPr>
      <w:r>
        <w:t xml:space="preserve">The ledger encodes grammar (the 28.9% structural layer) but not content (the 71.1% lexical layer). It does not contain the 2,001 distinct core morphemes, the section-specific vocabulary profiles, or the frequency weights that distinguish one passage from another. A scribe using only this ledger would produce grammatically valid text — satisfying the PGCS slot architecture, character constraints, and sequential transitions — but would need an additional source of lexical selection to reproduce the manuscript’s content signal.</w:t>
      </w:r>
    </w:p>
    <w:bookmarkEnd w:id="35"/>
    <w:bookmarkStart w:id="36" w:name="character-level-over-generation"/>
    <w:p>
      <w:pPr>
        <w:pStyle w:val="Heading3"/>
      </w:pPr>
      <w:r>
        <w:t xml:space="preserve">Character-Level Over-Generation</w:t>
      </w:r>
    </w:p>
    <w:p>
      <w:pPr>
        <w:pStyle w:val="FirstParagraph"/>
      </w:pPr>
      <w:r>
        <w:t xml:space="preserve">The character adjacency constraints in the grammar (627 legal character bigram transitions from the VMS alphabet of 25 characters) define the space of all character strings the ledger can produce. Exhaustive enumeration of legal character walks at lengths 1–6 yields approximately 3.88 million distinct forms. Extrapolation to lengths 7–10 (the observed VMS word-length range) gives a conservative lower bound of 5.3 million legal token forms. Against the manuscript’s 7,598 attested types, this represents an over-generation ratio of at least 700×. The character-level ledger is thus dramatically under-constrained: it accepts any string obeying local bigram rules, regardless of whether the string constitutes a valid PGCS word. The slot grammar, by contrast, compresses the free combinatorial product 127-fold (S1.4), and attested quadruples compress it further still. This quantifies the empirical bite of the grammar relative to character-level description.</w:t>
      </w:r>
    </w:p>
    <w:p>
      <w:pPr>
        <w:pStyle w:val="BodyText"/>
      </w:pPr>
      <w:r>
        <w:t xml:space="preserve">This separation is the physical analogue of the information budget (S2): the grammar fits on a leaf; the content does not.</w:t>
      </w:r>
    </w:p>
    <w:bookmarkEnd w:id="36"/>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2026-02-28T08:28:26Z</dcterms:created>
  <dcterms:modified xsi:type="dcterms:W3CDTF">2026-02-28T08:28:26Z</dcterms:modified>
</cp:coreProperties>
</file>

<file path=docProps/custom.xml><?xml version="1.0" encoding="utf-8"?>
<Properties xmlns="http://schemas.openxmlformats.org/officeDocument/2006/custom-properties" xmlns:vt="http://schemas.openxmlformats.org/officeDocument/2006/docPropsVTypes"/>
</file>