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2-information-budget-derivation"/>
    <w:p>
      <w:pPr>
        <w:pStyle w:val="Heading1"/>
      </w:pPr>
      <w:r>
        <w:t xml:space="preserve">S2: Information Budget Derivation</w:t>
      </w:r>
    </w:p>
    <w:p>
      <w:pPr>
        <w:pStyle w:val="BlockText"/>
      </w:pPr>
      <w:r>
        <w:rPr>
          <w:bCs/>
          <w:b/>
        </w:rPr>
        <w:t xml:space="preserve">Source code:</w:t>
      </w:r>
      <w:r>
        <w:t xml:space="preserve"> </w:t>
      </w:r>
      <w:r>
        <w:rPr>
          <w:rStyle w:val="VerbatimChar"/>
        </w:rPr>
        <w:t xml:space="preserve">src/p70c_connect.py</w:t>
      </w:r>
      <w:r>
        <w:t xml:space="preserve"> (information budget derivation)</w:t>
        <w:br/>
      </w:r>
      <w:r>
        <w:rPr>
          <w:bCs/>
          <w:b/>
        </w:rPr>
        <w:t xml:space="preserve">Data:</w:t>
      </w:r>
      <w:r>
        <w:t xml:space="preserve"> </w:t>
      </w:r>
      <w:r>
        <w:rPr>
          <w:rStyle w:val="VerbatimChar"/>
        </w:rPr>
        <w:t xml:space="preserve">data/transition_lookup.json</w:t>
      </w:r>
      <w:r>
        <w:t xml:space="preserve"> (8×8 matrix), </w:t>
      </w:r>
      <w:r>
        <w:rPr>
          <w:rStyle w:val="VerbatimChar"/>
        </w:rPr>
        <w:t xml:space="preserve">data/enriched_records.pkl</w:t>
      </w:r>
      <w:r>
        <w:t xml:space="preserve"> (ground truth)</w:t>
      </w:r>
    </w:p>
    <w:bookmarkStart w:id="20" w:name="s2.1-entropy-framework"/>
    <w:p>
      <w:pPr>
        <w:pStyle w:val="Heading2"/>
      </w:pPr>
      <w:r>
        <w:t xml:space="preserve">S2.1 Entropy Framework</w:t>
      </w:r>
    </w:p>
    <w:p>
      <w:pPr>
        <w:pStyle w:val="FirstParagraph"/>
      </w:pPr>
      <w:r>
        <w:t xml:space="preserve">The information budget decomposes word-selection entropy H(quad) into a grammatical component (explained by external conditioning axes) and a lexical content component (unexplained).</w:t>
      </w:r>
    </w:p>
    <w:p>
      <w:pPr>
        <w:pStyle w:val="BodyText"/>
      </w:pPr>
      <w:r>
        <w:rPr>
          <w:bCs/>
          <w:b/>
        </w:rPr>
        <w:t xml:space="preserve">Notation.</w:t>
      </w:r>
      <w:r>
        <w:t xml:space="preserve"> Let quad = (prefix, gallows, m_core_class, sfx_fam). H(quad) denotes the empirical entropy of the quad distribution over the 37,465-token corpus:</w:t>
      </w:r>
    </w:p>
    <w:p>
      <w:pPr>
        <w:pStyle w:val="SourceCode"/>
      </w:pPr>
      <w:r>
        <w:rPr>
          <w:rStyle w:val="VerbatimChar"/>
        </w:rPr>
        <w:t xml:space="preserve">H(quad) = 9.124 bits</w:t>
      </w:r>
    </w:p>
    <w:p>
      <w:pPr>
        <w:pStyle w:val="FirstParagraph"/>
      </w:pPr>
      <w:r>
        <w:t xml:space="preserve">This is lower than the sum of marginal quad-slot entropies (10.306 bits, see table below) by 1.182 bits (11.5% redundancy), confirming that PGCS quad-level slots are approximately 89% independent. (At full character-level resolution, redundancy rises to 21.7% because full cores and full suffixes carry more mutual information than the classified abstractions used here.)</w:t>
      </w:r>
    </w:p>
    <w:bookmarkEnd w:id="20"/>
    <w:bookmarkStart w:id="22" w:name="s2.2-slot-level-decomposition"/>
    <w:p>
      <w:pPr>
        <w:pStyle w:val="Heading2"/>
      </w:pPr>
      <w:r>
        <w:t xml:space="preserve">S2.2 Slot-Level Decomposition</w:t>
      </w:r>
    </w:p>
    <w:p>
      <w:pPr>
        <w:pStyle w:val="FirstParagraph"/>
      </w:pPr>
      <w:r>
        <w:t xml:space="preserve">By the chain rule of entropy:</w:t>
      </w:r>
    </w:p>
    <w:p>
      <w:pPr>
        <w:pStyle w:val="SourceCode"/>
      </w:pPr>
      <w:r>
        <w:rPr>
          <w:rStyle w:val="VerbatimChar"/>
        </w:rPr>
        <w:t xml:space="preserve">H(word) = H(P) + H(G|P) + H(C|P,G) + H(S|P,G,C)</w:t>
      </w:r>
    </w:p>
    <w:p>
      <w:pPr>
        <w:pStyle w:val="FirstParagraph"/>
      </w:pPr>
      <w:r>
        <w:t xml:space="preserve">Empirical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H(word)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H(prefix) = H(P)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H(gallows) = H(G)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H(m_core) = H(C)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H(sfx_fam) = H(SF)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of marginals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H(quad) 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</w:tr>
    </w:tbl>
    <w:bookmarkStart w:id="21" w:name="pairwise-couplings-mi"/>
    <w:p>
      <w:pPr>
        <w:pStyle w:val="Heading3"/>
      </w:pPr>
      <w:r>
        <w:t xml:space="preserve">Pairwise Couplings (MI)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(bits)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Core–Suffix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within-word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Prefix–Core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Prefix–Gallows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pairwise (Cramér’s V = 0.266)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Gallows–Suffix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Gallows–Core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Prefix–Suffix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Weakest</w:t>
            </w:r>
          </w:p>
        </w:tc>
      </w:tr>
    </w:tbl>
    <w:bookmarkEnd w:id="21"/>
    <w:bookmarkEnd w:id="22"/>
    <w:bookmarkStart w:id="28" w:name="s2.3-five-axis-conditioning"/>
    <w:p>
      <w:pPr>
        <w:pStyle w:val="Heading2"/>
      </w:pPr>
      <w:r>
        <w:t xml:space="preserve">S2.3 Five-Axis Conditioning</w:t>
      </w:r>
    </w:p>
    <w:p>
      <w:pPr>
        <w:pStyle w:val="FirstParagraph"/>
      </w:pPr>
      <w:r>
        <w:t xml:space="preserve">Axes are added in decreasing order of marginal contribution. At each step, we compute MI(quad; axis₁, …, axisₖ) using the joint distribution of quad with all conditioning axes up to k.</w:t>
      </w:r>
    </w:p>
    <w:bookmarkStart w:id="23" w:name="axis-1-section-9-categories"/>
    <w:p>
      <w:pPr>
        <w:pStyle w:val="Heading3"/>
      </w:pPr>
      <w:r>
        <w:t xml:space="preserve">Axis 1: Section (9 categories)</w:t>
      </w:r>
    </w:p>
    <w:p>
      <w:pPr>
        <w:pStyle w:val="FirstParagraph"/>
      </w:pPr>
      <w:r>
        <w:t xml:space="preserve">VMS sections: Herbal-A, Herbal-B, Pharmaceutical, Balneological, Astronomical, Zodiac, Cosmological, Stars, Rosettes.</w:t>
      </w:r>
    </w:p>
    <w:p>
      <w:pPr>
        <w:pStyle w:val="SourceCode"/>
      </w:pPr>
      <w:r>
        <w:rPr>
          <w:rStyle w:val="VerbatimChar"/>
        </w:rPr>
        <w:t xml:space="preserve">MI(quad; section) = 0.810 bits (8.88% of H(quad))</w:t>
      </w:r>
    </w:p>
    <w:p>
      <w:pPr>
        <w:pStyle w:val="FirstParagraph"/>
      </w:pPr>
      <w:r>
        <w:t xml:space="preserve">This confirms that section identity predicts word choice, consistent with section classification at 76–81% accuracy using token frequencies.</w:t>
      </w:r>
    </w:p>
    <w:bookmarkEnd w:id="23"/>
    <w:bookmarkStart w:id="24" w:name="axis-2-line-position-3-categories"/>
    <w:p>
      <w:pPr>
        <w:pStyle w:val="Heading3"/>
      </w:pPr>
      <w:r>
        <w:t xml:space="preserve">Axis 2: Line Position (3 categories)</w:t>
      </w:r>
    </w:p>
    <w:p>
      <w:pPr>
        <w:pStyle w:val="FirstParagraph"/>
      </w:pPr>
      <w:r>
        <w:t xml:space="preserve">FIRST (word 1 of line), MID (words 2 through n−1), LAST (final word of line).</w:t>
      </w:r>
    </w:p>
    <w:p>
      <w:pPr>
        <w:pStyle w:val="SourceCode"/>
      </w:pPr>
      <w:r>
        <w:rPr>
          <w:rStyle w:val="VerbatimChar"/>
        </w:rPr>
        <w:t xml:space="preserve">MI(quad; section, position) = 1.329 bits (14.56%)</w:t>
      </w:r>
      <w:r>
        <w:br/>
      </w:r>
      <w:r>
        <w:rPr>
          <w:rStyle w:val="VerbatimChar"/>
        </w:rPr>
        <w:t xml:space="preserve">Δ position beyond section = 0.518 bits (5.68%)</w:t>
      </w:r>
    </w:p>
    <w:p>
      <w:pPr>
        <w:pStyle w:val="FirstParagraph"/>
      </w:pPr>
      <w:r>
        <w:t xml:space="preserve">Position adds 63.9% additional information beyond section alone. The three-zone model identifies: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Opener zone</w:t>
      </w:r>
      <w:r>
        <w:t xml:space="preserve"> (FIRST): Enriched for d-prefix (15.3% vs 10.1%, Z=12.5), depleted for empty cores (39% vs 57%), elevated y-prefix (13.4%).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Closer zone</w:t>
      </w:r>
      <w:r>
        <w:t xml:space="preserve"> (LAST): M-suffix line-ending marker at 14.9% vs 1.8% penultimate (Z=57.8), the strongest positional signal in the manuscript.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Middle zone</w:t>
      </w:r>
      <w:r>
        <w:t xml:space="preserve"> (MID): Default register.</w:t>
      </w:r>
    </w:p>
    <w:bookmarkEnd w:id="24"/>
    <w:bookmarkStart w:id="25" w:name="X16945968d6b4996225fff34f2bed547c0aa76eb"/>
    <w:p>
      <w:pPr>
        <w:pStyle w:val="Heading3"/>
      </w:pPr>
      <w:r>
        <w:t xml:space="preserve">Axis 3: Previous Suffix Family (7 categories + LINE_START)</w:t>
      </w:r>
    </w:p>
    <w:p>
      <w:pPr>
        <w:pStyle w:val="SourceCode"/>
      </w:pPr>
      <w:r>
        <w:rPr>
          <w:rStyle w:val="VerbatimChar"/>
        </w:rPr>
        <w:t xml:space="preserve">MI(quad; section, position, prev_sfx) = 2.086 bits (22.86%)</w:t>
      </w:r>
      <w:r>
        <w:br/>
      </w:r>
      <w:r>
        <w:rPr>
          <w:rStyle w:val="VerbatimChar"/>
        </w:rPr>
        <w:t xml:space="preserve">Δ prev_sfx beyond section+position = 0.757 bits (8.30%)</w:t>
      </w:r>
    </w:p>
    <w:p>
      <w:pPr>
        <w:pStyle w:val="FirstParagraph"/>
      </w:pPr>
      <w:r>
        <w:t xml:space="preserve">This is the single largest marginal increment. Key transitions: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Previous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Next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1.2×</w:t>
            </w:r>
          </w:p>
        </w:tc>
      </w:tr>
    </w:tbl>
    <w:p>
      <w:pPr>
        <w:pStyle w:val="BodyText"/>
      </w:pPr>
      <w:r>
        <w:t xml:space="preserve">The transition grammar also explains the length autocorrelation (AC = +0.160): suffix-family constrains following prefix, and prefix constrains word length, propagating the coupling through PGCS slots. The effect resets at line boundaries (within-line AC = 0.151; cross-line AC = 0.062).</w:t>
      </w:r>
    </w:p>
    <w:bookmarkEnd w:id="25"/>
    <w:bookmarkStart w:id="26" w:name="axis-4-paragraph-flag-binary"/>
    <w:p>
      <w:pPr>
        <w:pStyle w:val="Heading3"/>
      </w:pPr>
      <w:r>
        <w:t xml:space="preserve">Axis 4: Paragraph Flag (binary)</w:t>
      </w:r>
    </w:p>
    <w:p>
      <w:pPr>
        <w:pStyle w:val="SourceCode"/>
      </w:pPr>
      <w:r>
        <w:rPr>
          <w:rStyle w:val="VerbatimChar"/>
        </w:rPr>
        <w:t xml:space="preserve">MI(quad; section, position, prev_sfx, para_flag) = 2.116 bits (23.19%)</w:t>
      </w:r>
      <w:r>
        <w:br/>
      </w:r>
      <w:r>
        <w:rPr>
          <w:rStyle w:val="VerbatimChar"/>
        </w:rPr>
        <w:t xml:space="preserve">Δ para_flag = 0.030 bits (0.33%)</w:t>
      </w:r>
    </w:p>
    <w:p>
      <w:pPr>
        <w:pStyle w:val="FirstParagraph"/>
      </w:pPr>
      <w:r>
        <w:t xml:space="preserve">Negligible marginal contribution despite a striking distributional signature: 71.7% of paragraph-initial tokens carry ∅-prefix and 84.5% bear gallows (rising to 79.6% and 88.7% in the five main text sections). The low MI reflects the small sample (226 tokens, 0.6% of corpus).</w:t>
      </w:r>
    </w:p>
    <w:bookmarkEnd w:id="26"/>
    <w:bookmarkStart w:id="27" w:name="Xb7461e5a5b081fc52eee298d49bb5b60631325c"/>
    <w:p>
      <w:pPr>
        <w:pStyle w:val="Heading3"/>
      </w:pPr>
      <w:r>
        <w:t xml:space="preserve">Axis 5: Quire / Production Unit (16 categories)</w:t>
      </w:r>
    </w:p>
    <w:p>
      <w:pPr>
        <w:pStyle w:val="SourceCode"/>
      </w:pPr>
      <w:r>
        <w:rPr>
          <w:rStyle w:val="VerbatimChar"/>
        </w:rPr>
        <w:t xml:space="preserve">MI(quad; all five axes) = 2.634 bits (28.87%)</w:t>
      </w:r>
      <w:r>
        <w:br/>
      </w:r>
      <w:r>
        <w:rPr>
          <w:rStyle w:val="VerbatimChar"/>
        </w:rPr>
        <w:t xml:space="preserve">Δ quire beyond all prior = 0.518 bits (5.68%)</w:t>
      </w:r>
    </w:p>
    <w:p>
      <w:pPr>
        <w:pStyle w:val="FirstParagraph"/>
      </w:pPr>
      <w:r>
        <w:t xml:space="preserve">Quire identity captures within-section vocabulary variation across production units. The f42–f49–f56 cross-quire cluster (Jaccard = 0.108 with other Herbal folios) has 98 exclusive quads, validating the production-unit finding at the quad level.</w:t>
      </w:r>
    </w:p>
    <w:bookmarkEnd w:id="27"/>
    <w:bookmarkEnd w:id="28"/>
    <w:bookmarkStart w:id="29" w:name="s2.4-the-residual-71.1-unexplained"/>
    <w:p>
      <w:pPr>
        <w:pStyle w:val="Heading2"/>
      </w:pPr>
      <w:r>
        <w:t xml:space="preserve">S2.4 The Residual: 71.1% Unexplained</w:t>
      </w:r>
    </w:p>
    <w:p>
      <w:pPr>
        <w:pStyle w:val="SourceCode"/>
      </w:pPr>
      <w:r>
        <w:rPr>
          <w:rStyle w:val="VerbatimChar"/>
        </w:rPr>
        <w:t xml:space="preserve">H(quad | all five axes) = 6.490 bits (71.13%)</w:t>
      </w:r>
    </w:p>
    <w:p>
      <w:pPr>
        <w:pStyle w:val="FirstParagraph"/>
      </w:pPr>
      <w:r>
        <w:t xml:space="preserve">This is the content layer. It is not noise: it represents the specific lexical choices that distinguish one passage from another within the same section, position, and grammatical context. The grammar (29%) is fully reproducible without semantic encoding. The content (71%) is what resists recovery.</w:t>
      </w:r>
    </w:p>
    <w:bookmarkEnd w:id="29"/>
    <w:bookmarkStart w:id="30" w:name="s2.5-robustness"/>
    <w:p>
      <w:pPr>
        <w:pStyle w:val="Heading2"/>
      </w:pPr>
      <w:r>
        <w:t xml:space="preserve">S2.5 Robustness</w:t>
      </w:r>
    </w:p>
    <w:p>
      <w:pPr>
        <w:pStyle w:val="FirstParagraph"/>
      </w:pPr>
      <w:r>
        <w:t xml:space="preserve">The information budget is stable under: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Core coarsening:</w:t>
      </w:r>
      <w:r>
        <w:t xml:space="preserve"> 2-character cores preserve 80% of the MI pattern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Suffix abstraction level:</w:t>
      </w:r>
      <w:r>
        <w:t xml:space="preserve"> Full suffixes add 1.096 bits (12.0%) but at the cost of 1,794 additional entries and worse generalisation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Transcription sensitivity:</w:t>
      </w:r>
      <w:r>
        <w:t xml:space="preserve"> Sensitivity analysis under 5% character corruption (Supplement S4) confirms structural findings are robust, though all analyses are conditioned on a single transcription system (ZLZI)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Bootstrap:</w:t>
      </w:r>
      <w:r>
        <w:t xml:space="preserve"> 95% CIs for cumulative MI are within ±0.05 bits at each axis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2026-02-28T08:28:26Z</dcterms:created>
  <dcterms:modified xsi:type="dcterms:W3CDTF">2026-02-28T08:28:26Z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