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X068d83984f68f92371de1332e1538225f35a2c1"/>
    <w:p>
      <w:pPr>
        <w:pStyle w:val="Heading1"/>
      </w:pPr>
      <w:r>
        <w:t xml:space="preserve">S4: Cross-Validation, Red Team, and Robustness Checks</w:t>
      </w:r>
    </w:p>
    <w:p>
      <w:pPr>
        <w:pStyle w:val="BlockText"/>
      </w:pPr>
      <w:r>
        <w:rPr>
          <w:bCs/>
          <w:b/>
        </w:rPr>
        <w:t xml:space="preserve">Source code:</w:t>
      </w:r>
      <w:r>
        <w:t xml:space="preserve"> </w:t>
      </w:r>
      <w:r>
        <w:rPr>
          <w:rStyle w:val="VerbatimChar"/>
        </w:rPr>
        <w:t xml:space="preserve">src/p70c_full.py</w:t>
      </w:r>
      <w:r>
        <w:t xml:space="preserve"> </w:t>
      </w:r>
      <w:r>
        <w:t xml:space="preserve">(</w:t>
      </w:r>
      <w:r>
        <w:rPr>
          <w:rStyle w:val="VerbatimChar"/>
        </w:rPr>
        <w:t xml:space="preserve">validate()</w:t>
      </w:r>
      <w:r>
        <w:t xml:space="preserve">),</w:t>
      </w:r>
      <w:r>
        <w:t xml:space="preserve"> </w:t>
      </w:r>
      <w:r>
        <w:rPr>
          <w:rStyle w:val="VerbatimChar"/>
        </w:rPr>
        <w:t xml:space="preserve">src/p70c_connect.py</w:t>
      </w:r>
      <w:r>
        <w:t xml:space="preserve"> </w:t>
      </w:r>
      <w:r>
        <w:t xml:space="preserve">(cross-val)</w:t>
      </w:r>
      <w:r>
        <w:br/>
      </w:r>
      <w:r>
        <w:rPr>
          <w:bCs/>
          <w:b/>
        </w:rPr>
        <w:t xml:space="preserve">Data:</w:t>
      </w:r>
      <w:r>
        <w:t xml:space="preserve"> </w:t>
      </w:r>
      <w:r>
        <w:rPr>
          <w:rStyle w:val="VerbatimChar"/>
        </w:rPr>
        <w:t xml:space="preserve">data/p70c_full_layer.pkl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data/enriched_records.pkl</w:t>
      </w:r>
    </w:p>
    <w:bookmarkStart w:id="22" w:name="s4.1-pgcs-grammar-cross-validation"/>
    <w:p>
      <w:pPr>
        <w:pStyle w:val="Heading2"/>
      </w:pPr>
      <w:r>
        <w:t xml:space="preserve">S4.1 PGCS Grammar Cross-Validation</w:t>
      </w:r>
    </w:p>
    <w:bookmarkStart w:id="20" w:name="held-out-generalisation"/>
    <w:p>
      <w:pPr>
        <w:pStyle w:val="Heading3"/>
      </w:pPr>
      <w:r>
        <w:t xml:space="preserve">Held-Out Generalisation</w:t>
      </w:r>
    </w:p>
    <w:p>
      <w:pPr>
        <w:pStyle w:val="FirstParagraph"/>
      </w:pPr>
      <w:r>
        <w:t xml:space="preserve">40% of the corpus was held out by folio during grammar development. The held-out set contains 3,930 unique types not seen during rule development. Zero types produce PGCS violations. The grammar generalises perfectly to unseen data.</w:t>
      </w:r>
    </w:p>
    <w:bookmarkEnd w:id="20"/>
    <w:bookmarkStart w:id="21" w:name="X233d7a0c3bbb939797ce4e69cda9fff6ad8cf57"/>
    <w:p>
      <w:pPr>
        <w:pStyle w:val="Heading3"/>
      </w:pPr>
      <w:r>
        <w:t xml:space="preserve">Tier-by-Tier Cross-Validation (50 trials, 80/20 split)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 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Novel type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Novel token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0.0% ± 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0.0% ± 0.0%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10–49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0.0% ± 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0.0% ± 0.0%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4–9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0.1% ± 0.2%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0.2% ± 0.4%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4,226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66.1% ± 1.3%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65.2% ± 1.4%</w:t>
            </w:r>
          </w:p>
        </w:tc>
      </w:tr>
    </w:tbl>
    <w:p>
      <w:pPr>
        <w:pStyle w:val="BodyText"/>
      </w:pPr>
      <w:r>
        <w:t xml:space="preserve">T1+T2 generalise perfectly. T4 novel rates match the mathematical prediction from the hapax distribution (Zipf’s law). This is normal lexical behavior, not structural failure.</w:t>
      </w:r>
    </w:p>
    <w:bookmarkEnd w:id="21"/>
    <w:bookmarkEnd w:id="22"/>
    <w:bookmarkStart w:id="27" w:name="s4.2-red-team-analysis-9-attacks"/>
    <w:p>
      <w:pPr>
        <w:pStyle w:val="Heading2"/>
      </w:pPr>
      <w:r>
        <w:t xml:space="preserve">S4.2 Red Team Analysis (9 Attacks)</w:t>
      </w:r>
    </w:p>
    <w:bookmarkStart w:id="23" w:name="summary"/>
    <w:p>
      <w:pPr>
        <w:pStyle w:val="Heading3"/>
      </w:pPr>
      <w:r>
        <w:t xml:space="preserve">Summary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810"/>
        <w:gridCol w:w="1810"/>
        <w:gridCol w:w="2036"/>
        <w:gridCol w:w="22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Attack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Verdict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 Circularity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Quad generalisation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(Zipf’s law)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 m_core granularity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 representation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(acknowledged)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 Line-length confound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Positional effects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 Transcription dependence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findings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 CAVEAT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 (inherent)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 Tautology 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Skeleton/content split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 Over-generation framing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58.6% claim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✗ FIXED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Was high → corrected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 Decomposition validity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PGCS 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 Significance inflation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 sizes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 CAVEAT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 (reporting)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9. Token-quad ambiguity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Parse determinism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</w:tbl>
    <w:bookmarkEnd w:id="23"/>
    <w:bookmarkStart w:id="24" w:name="attack-3-detail-line-length-confound"/>
    <w:p>
      <w:pPr>
        <w:pStyle w:val="Heading3"/>
      </w:pPr>
      <w:r>
        <w:t xml:space="preserve">Attack 3 Detail: Line-Length Confound</w:t>
      </w:r>
    </w:p>
    <w:p>
      <w:pPr>
        <w:pStyle w:val="FirstParagraph"/>
      </w:pPr>
      <w:r>
        <w:t xml:space="preserve">M-suffix enrichment at LAST position:</w:t>
      </w:r>
      <w:r>
        <w:t xml:space="preserve"> </w:t>
      </w:r>
      <w:r>
        <w:t xml:space="preserve">- Short lines (≤5 words): 4.2× enrichment</w:t>
      </w:r>
      <w:r>
        <w:t xml:space="preserve"> </w:t>
      </w:r>
      <w:r>
        <w:t xml:space="preserve">- Long lines (≥8 words): 21.6× enrichment</w:t>
      </w:r>
    </w:p>
    <w:p>
      <w:pPr>
        <w:pStyle w:val="BodyText"/>
      </w:pPr>
      <w:r>
        <w:t xml:space="preserve">y-prefix enrichment at FIRST position:</w:t>
      </w:r>
      <w:r>
        <w:t xml:space="preserve"> </w:t>
      </w:r>
      <w:r>
        <w:t xml:space="preserve">- Short lines: 3.7× enrichment</w:t>
      </w:r>
      <w:r>
        <w:t xml:space="preserve"> </w:t>
      </w:r>
      <w:r>
        <w:t xml:space="preserve">- Long lines: 3.5× enrichment</w:t>
      </w:r>
    </w:p>
    <w:p>
      <w:pPr>
        <w:pStyle w:val="BodyText"/>
      </w:pPr>
      <w:r>
        <w:t xml:space="preserve">Effects hold and are actually STRONGER on long lines. Not a confound.</w:t>
      </w:r>
    </w:p>
    <w:bookmarkEnd w:id="24"/>
    <w:bookmarkStart w:id="25" w:name="attack-5-detail-tautology-risk"/>
    <w:p>
      <w:pPr>
        <w:pStyle w:val="Heading3"/>
      </w:pPr>
      <w:r>
        <w:t xml:space="preserve">Attack 5 Detail: Tautology Risk</w:t>
      </w:r>
    </w:p>
    <w:p>
      <w:pPr>
        <w:pStyle w:val="FirstParagraph"/>
      </w:pPr>
      <w:r>
        <w:t xml:space="preserve">Random 4-slot decomposition gives 12,563 quads with 76.7% hapax. PGCS gives 5,172 quads with 63.5% hapax. The skeleton/content distinction is non-trivially a product of the PGCS grammar, not an artefact of any arbitrary decomposition.</w:t>
      </w:r>
    </w:p>
    <w:bookmarkEnd w:id="25"/>
    <w:bookmarkStart w:id="26" w:name="Xbbbace31a68aac66e2b073e5d2938e6a67245aa"/>
    <w:p>
      <w:pPr>
        <w:pStyle w:val="Heading3"/>
      </w:pPr>
      <w:r>
        <w:t xml:space="preserve">Attack 6 Detail: Over-Generation Correction</w:t>
      </w:r>
    </w:p>
    <w:p>
      <w:pPr>
        <w:pStyle w:val="FirstParagraph"/>
      </w:pPr>
      <w:r>
        <w:t xml:space="preserve">Two distinct metrics must be separated:</w:t>
      </w:r>
    </w:p>
    <w:p>
      <w:pPr>
        <w:pStyle w:val="BodyText"/>
      </w:pPr>
      <w:r>
        <w:rPr>
          <w:bCs/>
          <w:b/>
        </w:rPr>
        <w:t xml:space="preserve">Vocabulary precision</w:t>
      </w:r>
      <w:r>
        <w:t xml:space="preserve"> </w:t>
      </w:r>
      <w:r>
        <w:t xml:space="preserve">(which types the model accepts):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Types accepted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Over-generation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PGCS unconstrained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~42,522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5.6×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PGCS-C weighted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~14,768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Observed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7,598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1.0×</w:t>
            </w:r>
          </w:p>
        </w:tc>
      </w:tr>
    </w:tbl>
    <w:p>
      <w:pPr>
        <w:pStyle w:val="BodyText"/>
      </w:pPr>
      <w:r>
        <w:rPr>
          <w:bCs/>
          <w:b/>
        </w:rPr>
        <w:t xml:space="preserve">Placement precision</w:t>
      </w:r>
      <w:r>
        <w:t xml:space="preserve"> </w:t>
      </w:r>
      <w:r>
        <w:t xml:space="preserve">(where types can appear):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(type, position) pairs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Over-generation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Quad (no position)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22,794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2.41×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Quint (with position)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9,446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1.00×</w:t>
            </w:r>
          </w:p>
        </w:tc>
      </w:tr>
    </w:tbl>
    <w:p>
      <w:pPr>
        <w:pStyle w:val="BodyText"/>
      </w:pPr>
      <w:r>
        <w:t xml:space="preserve">Position conditioning constrains WHERE tokens appear, not WHICH tokens exist.</w:t>
      </w:r>
    </w:p>
    <w:bookmarkEnd w:id="26"/>
    <w:bookmarkEnd w:id="27"/>
    <w:bookmarkStart w:id="30" w:name="s4.3-transcription-robustness"/>
    <w:p>
      <w:pPr>
        <w:pStyle w:val="Heading2"/>
      </w:pPr>
      <w:r>
        <w:t xml:space="preserve">S4.3 Transcription Robustness</w:t>
      </w:r>
    </w:p>
    <w:bookmarkStart w:id="28" w:name="Xfe391eb19e65e151805a313aeb57d8f8354ded7"/>
    <w:p>
      <w:pPr>
        <w:pStyle w:val="Heading3"/>
      </w:pPr>
      <w:r>
        <w:t xml:space="preserve">Sensitivity Analysis (5% Character Corruption)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Slot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Hit rate at 5% corruption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Interpretation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Prefix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Robust (short, high-frequency)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Gallows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Very robust (distinctive characters)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Suffix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 (longer, more variation)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m_core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 (depends on exact characters)</w:t>
            </w:r>
          </w:p>
        </w:tc>
      </w:tr>
    </w:tbl>
    <w:bookmarkEnd w:id="28"/>
    <w:bookmarkStart w:id="29" w:name="tiered-robustness-statement"/>
    <w:p>
      <w:pPr>
        <w:pStyle w:val="Heading3"/>
      </w:pPr>
      <w:r>
        <w:t xml:space="preserve">Tiered Robustness Statement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ROBUST</w:t>
      </w:r>
      <w:r>
        <w:t xml:space="preserve"> </w:t>
      </w:r>
      <w:r>
        <w:t xml:space="preserve">(T1+T2, 435 quads, 77.6% tokens): Corruption-validated. Short slots, high counts, absorbs noise.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MODERATELY ROBUST</w:t>
      </w:r>
      <w:r>
        <w:t xml:space="preserve"> </w:t>
      </w:r>
      <w:r>
        <w:t xml:space="preserve">(T3, 511 quads, 7.8% tokens): n = 4–9, survives isolated errors.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FRAGILE</w:t>
      </w:r>
      <w:r>
        <w:t xml:space="preserve"> </w:t>
      </w:r>
      <w:r>
        <w:t xml:space="preserve">(T4, 4,226 quads, 14.6% tokens): Hapax entries. Class existence is robust (Zipf); individual membership is not.</w:t>
      </w:r>
    </w:p>
    <w:p>
      <w:pPr>
        <w:pStyle w:val="FirstParagraph"/>
      </w:pPr>
      <w:r>
        <w:t xml:space="preserve">Structural findings (4-slot architecture, entropy distribution, M-suffix marker, position effects, skeleton/content split) are transcription-independent. Specific T4 m_cores and exact MI values (±0.01–0.05 bits) may shift.</w:t>
      </w:r>
    </w:p>
    <w:bookmarkEnd w:id="29"/>
    <w:bookmarkEnd w:id="30"/>
    <w:bookmarkStart w:id="31" w:name="s4.4-effect-size-reporting"/>
    <w:p>
      <w:pPr>
        <w:pStyle w:val="Heading2"/>
      </w:pPr>
      <w:r>
        <w:t xml:space="preserve">S4.4 Effect Size Reporting</w:t>
      </w:r>
    </w:p>
    <w:p>
      <w:pPr>
        <w:pStyle w:val="FirstParagraph"/>
      </w:pPr>
      <w:r>
        <w:t xml:space="preserve">All χ² tests in the paper operate on N = 37,465 tokens. At this sample size, significance is expected even for small effects. Effect sizes (Cramér’s V and MI as % of marginal H) are the appropriate measures of substantive importance.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Relationship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χ²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 (bits)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MI/H%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Size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Prefix × 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2,963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Gallows × 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m_core × 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8,742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SfxFam × 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3,273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Prefix × 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3,396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Gallows × 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1,376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negligible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SfxFam × 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1,849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negligible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Prefix × Gallows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18,526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Core × SfxFam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28,705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</w:tbl>
    <w:p>
      <w:pPr>
        <w:pStyle w:val="BodyText"/>
      </w:pPr>
      <w:r>
        <w:t xml:space="preserve">Individual slot-level effects are small to medium. The information budget captures their joint contribution: 28.9% of quad entropy is explained by the five conditioning axes together.</w:t>
      </w:r>
    </w:p>
    <w:bookmarkEnd w:id="31"/>
    <w:bookmarkStart w:id="38" w:name="s4.5-cross-transcription-validation"/>
    <w:p>
      <w:pPr>
        <w:pStyle w:val="Heading2"/>
      </w:pPr>
      <w:r>
        <w:t xml:space="preserve">S4.5 Cross-Transcription Validation</w:t>
      </w:r>
    </w:p>
    <w:bookmarkStart w:id="32" w:name="design"/>
    <w:p>
      <w:pPr>
        <w:pStyle w:val="Heading3"/>
      </w:pPr>
      <w:r>
        <w:t xml:space="preserve">Design</w:t>
      </w:r>
    </w:p>
    <w:p>
      <w:pPr>
        <w:pStyle w:val="FirstParagraph"/>
      </w:pPr>
      <w:r>
        <w:t xml:space="preserve">The P70 PGCS grammar was developed exclusively on the ZLZI transcription. To test whether structural findings are artefacts of ZLZI-specific transcription choices, we applied the same decomposition rules (7 prefixes, 8 gallows, 31 suffixes, greedy longest-match decomposer) to every EVA transcription available in the slim corpus. Non-EVA transcriptions (Currier, Friedman FSG) use different alphabets and cannot be tested directly.</w:t>
      </w:r>
    </w:p>
    <w:bookmarkEnd w:id="32"/>
    <w:bookmarkStart w:id="33" w:name="transcriptions-tested"/>
    <w:p>
      <w:pPr>
        <w:pStyle w:val="Heading3"/>
      </w:pPr>
      <w:r>
        <w:t xml:space="preserve">Transcriptions Tested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Novel%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ZLZI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Zandbergen-Landini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37,464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7,597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PGCS baseline</w:t>
            </w:r>
          </w:p>
        </w:tc>
      </w:tr>
    </w:tbl>
    <w:p>
      <w:pPr>
        <w:pStyle w:val="BodyText"/>
      </w:pPr>
      <w:r>
        <w:rPr>
          <w:iCs/>
          <w:i/>
        </w:rPr>
        <w:t xml:space="preserve">Note: The main paper reports 37,465 tokens / 7,598 types from the enriched_records.pkl pipeline. The greedy decomposer used in this cross-transcription test applies slightly different tokenisation (whitespace-only splitting vs. the enriched pipeline’s pre-filtered tokens), producing counts that differ by one token and one type. All structural conclusions are unaffected.</w:t>
      </w:r>
      <w:r>
        <w:t xml:space="preserve"> </w:t>
      </w:r>
      <w:r>
        <w:t xml:space="preserve">| ZLZB | Z-L (beta) | 37,478 | 7,603 | 0.4% | Near-identical |</w:t>
      </w:r>
      <w:r>
        <w:t xml:space="preserve"> </w:t>
      </w:r>
      <w:r>
        <w:t xml:space="preserve">| TTLI | Takahashi (LSI) | 34,351 | 6,813 | 17.7% | Full EVA |</w:t>
      </w:r>
      <w:r>
        <w:t xml:space="preserve"> </w:t>
      </w:r>
      <w:r>
        <w:t xml:space="preserve">| TTIA | Takahashi (conc. A) | 37,759 | 8,026 | 21.1% | Full EVA |</w:t>
      </w:r>
      <w:r>
        <w:t xml:space="preserve"> </w:t>
      </w:r>
      <w:r>
        <w:t xml:space="preserve">| TTVE | Takahashi (VE) | 37,886 | 8,078 | 21.6% | Full EVA |</w:t>
      </w:r>
      <w:r>
        <w:t xml:space="preserve"> </w:t>
      </w:r>
      <w:r>
        <w:t xml:space="preserve">| VDRB | VMS Database | 34,037 | 7,468 | 16.4% | Full EVA |</w:t>
      </w:r>
      <w:r>
        <w:t xml:space="preserve"> </w:t>
      </w:r>
      <w:r>
        <w:t xml:space="preserve">| VDRB-1 | VMS Database (rev) | 37,899 | 8,300 | 19.6% | Full EVA |</w:t>
      </w:r>
      <w:r>
        <w:t xml:space="preserve"> </w:t>
      </w:r>
      <w:r>
        <w:t xml:space="preserve">| JSLI | Stolfi (LSI) | 9,900 | 2,914 | 14.8% | Partial coverage |</w:t>
      </w:r>
      <w:r>
        <w:t xml:space="preserve"> </w:t>
      </w:r>
      <w:r>
        <w:t xml:space="preserve">| JGLI | Grove (LSI) | 8,773 | 2,161 | 14.9% | Partial coverage |</w:t>
      </w:r>
      <w:r>
        <w:t xml:space="preserve"> </w:t>
      </w:r>
      <w:r>
        <w:t xml:space="preserve">| GCGA | Glen Claston | 9,590 | 955 | 91.4% | Variant encoding |</w:t>
      </w:r>
    </w:p>
    <w:bookmarkEnd w:id="33"/>
    <w:bookmarkStart w:id="34" w:name="entropy-budget-across-transcriptions"/>
    <w:p>
      <w:pPr>
        <w:pStyle w:val="Heading3"/>
      </w:pPr>
      <w:r>
        <w:t xml:space="preserve">Entropy Budget Across Transcriptions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H(p)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H(g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H(c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H(s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pgc)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ZLZI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2.787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2.633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10.311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34.1%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TTLI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2.784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3.407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2.635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10.207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33.4%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TTIA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2.789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3.632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2.640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10.445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34.8%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TTVE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2.789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3.639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10.454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34.8%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VDRB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2.778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3.612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2.603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10.377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34.8%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VDRB-1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2.787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3.692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2.617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10.471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35.3%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JSLI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2.791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9.823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33.2%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JGLI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2.777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2.730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8.983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6.874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49.4%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</w:tbl>
    <w:bookmarkEnd w:id="34"/>
    <w:bookmarkStart w:id="35" w:name="X2540f794cd3f31bcd40cd0fdf28589d6ac686bd"/>
    <w:p>
      <w:pPr>
        <w:pStyle w:val="Heading3"/>
      </w:pPr>
      <w:r>
        <w:t xml:space="preserve">Deltas from ZLZI Baseline (Full-Coverage Transcriptions Only)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dH(p)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dH(g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dH(c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ZLZB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TTLI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TTIA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+0.114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+0.134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TTVE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+0.122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+0.143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VDRB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+0.066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VDRB-1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+0.175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+0.160</w:t>
            </w:r>
          </w:p>
        </w:tc>
      </w:tr>
    </w:tbl>
    <w:p>
      <w:pPr>
        <w:pStyle w:val="BodyText"/>
      </w:pPr>
      <w:r>
        <w:t xml:space="preserve">Prefix and gallows slots are stable to +/-0.01 bits. Suffix is stable to +/-0.03 bits. Core varies most at +/-0.18 bits, reflecting transcription-level disagreements about character boundaries within the open-class slot.</w:t>
      </w:r>
    </w:p>
    <w:bookmarkEnd w:id="35"/>
    <w:bookmarkStart w:id="36" w:name="structural-claim-verdicts"/>
    <w:p>
      <w:pPr>
        <w:pStyle w:val="Heading3"/>
      </w:pPr>
      <w:r>
        <w:t xml:space="preserve">Structural Claim Verdicts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Claim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Full-cov (6)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(11)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Verdict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Core-is-max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6/6 (100%)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10/11 (91%)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Empty-core &gt; 30%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6/6 (100%)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11/11 (100%)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Empty-core &gt; 45%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6/6 (100%)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9/11 (82%)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V(P,G) &gt; 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6/6 (100%)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9/11 (82%)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MI(sec;C) &gt; 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6/6 (100%)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11/11 (100%)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Within +/-0.3 bits/slot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6/6 (100%)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8/11 (73%)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Holds</w:t>
            </w:r>
          </w:p>
        </w:tc>
      </w:tr>
    </w:tbl>
    <w:p>
      <w:pPr>
        <w:pStyle w:val="BodyText"/>
      </w:pPr>
      <w:r>
        <w:t xml:space="preserve">Among six full-coverage EVA transcriptions, all structural claims hold at 100%. The three partial failures (GCGA, GCGI, JGLI) are explained by data limitations: GCGA/GCGI use variant encoding producing 91.4% novel types, and JGLI covers only 23% of the corpus, depressing core entropy below suffix.</w:t>
      </w:r>
    </w:p>
    <w:bookmarkEnd w:id="36"/>
    <w:bookmarkStart w:id="37" w:name="caveats"/>
    <w:p>
      <w:pPr>
        <w:pStyle w:val="Heading3"/>
      </w:pPr>
      <w:r>
        <w:t xml:space="preserve">Caveats</w:t>
      </w:r>
    </w:p>
    <w:p>
      <w:pPr>
        <w:pStyle w:val="FirstParagraph"/>
      </w:pPr>
      <w:r>
        <w:t xml:space="preserve">This test uses greedy longest-match decomposition rather than the section-conditioned rule engine that produced enriched_records.pkl. Greedy gives ZLZI empty-core rate of 53.3% versus the enriched 52.7%. Structural findings are identical; exact numbers differ at the second decimal. TTIA and TTII produce identical token sequences and are effectively one transcription in two formats. The validation script (</w:t>
      </w:r>
      <w:r>
        <w:rPr>
          <w:rStyle w:val="VerbatimChar"/>
        </w:rPr>
        <w:t xml:space="preserve">cross_transcription_validate.py</w:t>
      </w:r>
      <w:r>
        <w:t xml:space="preserve">) is available in the repository.</w:t>
      </w:r>
    </w:p>
    <w:bookmarkEnd w:id="37"/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2026-02-28T08:28:27Z</dcterms:created>
  <dcterms:modified xsi:type="dcterms:W3CDTF">2026-02-28T08:28:27Z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