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5-formal-mechanism-exclusions"/>
    <w:p>
      <w:pPr>
        <w:pStyle w:val="Heading1"/>
      </w:pPr>
      <w:r>
        <w:t xml:space="preserve">S5: Formal Mechanism Exclusions</w:t>
      </w:r>
    </w:p>
    <w:p>
      <w:pPr>
        <w:pStyle w:val="BlockText"/>
      </w:pPr>
      <w:r>
        <w:rPr>
          <w:bCs/>
          <w:b/>
        </w:rPr>
        <w:t xml:space="preserve">Source code:</w:t>
      </w:r>
      <w:r>
        <w:t xml:space="preserve"> </w:t>
      </w:r>
      <w:r>
        <w:rPr>
          <w:rStyle w:val="VerbatimChar"/>
        </w:rPr>
        <w:t xml:space="preserve">src/p70c_connect.py</w:t>
      </w:r>
      <w:r>
        <w:t xml:space="preserve"> (autocorrelation, MI calculations)</w:t>
        <w:br/>
      </w:r>
      <w:r>
        <w:rPr>
          <w:bCs/>
          <w:b/>
        </w:rPr>
        <w:t xml:space="preserve">Data:</w:t>
      </w:r>
      <w:r>
        <w:t xml:space="preserve"> </w:t>
      </w:r>
      <w:r>
        <w:rPr>
          <w:rStyle w:val="VerbatimChar"/>
        </w:rPr>
        <w:t xml:space="preserve">data/enriched_records.pkl</w:t>
      </w:r>
    </w:p>
    <w:bookmarkStart w:id="20" w:name="s5.1-overview"/>
    <w:p>
      <w:pPr>
        <w:pStyle w:val="Heading2"/>
      </w:pPr>
      <w:r>
        <w:t xml:space="preserve">S5.1 Overview</w:t>
      </w:r>
    </w:p>
    <w:p>
      <w:pPr>
        <w:pStyle w:val="FirstParagraph"/>
      </w:pPr>
      <w:r>
        <w:t xml:space="preserve">Section 7 of the main paper excludes five classes of production mechanism. This supplement provides the formal arguments and supporting data for each exclusion.</w:t>
      </w:r>
    </w:p>
    <w:bookmarkEnd w:id="20"/>
    <w:bookmarkStart w:id="21" w:name="s5.2-monoalphabetic-substitution"/>
    <w:p>
      <w:pPr>
        <w:pStyle w:val="Heading2"/>
      </w:pPr>
      <w:r>
        <w:t xml:space="preserve">S5.2 Monoalphabetic Substitution</w:t>
      </w:r>
    </w:p>
    <w:p>
      <w:pPr>
        <w:pStyle w:val="FirstParagraph"/>
      </w:pPr>
      <w:r>
        <w:rPr>
          <w:bCs/>
          <w:b/>
        </w:rPr>
        <w:t xml:space="preserve">Claim</w:t>
      </w:r>
      <w:r>
        <w:t xml:space="preserve">: Simple substitution over natural-language prose is excluded.</w:t>
      </w:r>
    </w:p>
    <w:p>
      <w:pPr>
        <w:pStyle w:val="BodyText"/>
      </w:pPr>
      <w:r>
        <w:rPr>
          <w:bCs/>
          <w:b/>
        </w:rPr>
        <w:t xml:space="preserve">Argument</w:t>
      </w:r>
      <w:r>
        <w:t xml:space="preserve">: Monoalphabetic substitution is a bijective character mapping. It preserves all distributional properties of the source text, including word-length autocorrelation. The VMS has positive length AC (AC(1) = +0.160). Natural-language prose in the candidate source languages shows negative or near-zero AC: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Language</w:t>
            </w:r>
          </w:p>
        </w:tc>
        <w:tc>
          <w:tcPr/>
          <w:p>
            <w:pPr>
              <w:pStyle w:val="Compact"/>
              <w:jc w:val="left"/>
            </w:pPr>
            <w:r>
              <w:t xml:space="preserve">Corpus</w:t>
            </w:r>
          </w:p>
        </w:tc>
        <w:tc>
          <w:tcPr/>
          <w:p>
            <w:pPr>
              <w:pStyle w:val="Compact"/>
              <w:jc w:val="left"/>
            </w:pPr>
            <w:r>
              <w:t xml:space="preserve">AC(1)</w:t>
            </w:r>
          </w:p>
        </w:tc>
      </w:tr>
      <w:tr>
        <w:tc>
          <w:tcPr/>
          <w:p>
            <w:pPr>
              <w:pStyle w:val="Compact"/>
              <w:jc w:val="left"/>
            </w:pPr>
            <w:r>
              <w:t xml:space="preserve">Latin (Tacuinum)</w:t>
            </w:r>
          </w:p>
        </w:tc>
        <w:tc>
          <w:tcPr/>
          <w:p>
            <w:pPr>
              <w:pStyle w:val="Compact"/>
              <w:jc w:val="left"/>
            </w:pPr>
            <w:r>
              <w:t xml:space="preserve">Medical</w:t>
            </w:r>
          </w:p>
        </w:tc>
        <w:tc>
          <w:tcPr/>
          <w:p>
            <w:pPr>
              <w:pStyle w:val="Compact"/>
              <w:jc w:val="left"/>
            </w:pPr>
            <w:r>
              <w:t xml:space="preserve">−0.023</w:t>
            </w:r>
          </w:p>
        </w:tc>
      </w:tr>
      <w:tr>
        <w:tc>
          <w:tcPr/>
          <w:p>
            <w:pPr>
              <w:pStyle w:val="Compact"/>
              <w:jc w:val="left"/>
            </w:pPr>
            <w:r>
              <w:t xml:space="preserve">Italian (Riccardiana)</w:t>
            </w:r>
          </w:p>
        </w:tc>
        <w:tc>
          <w:tcPr/>
          <w:p>
            <w:pPr>
              <w:pStyle w:val="Compact"/>
              <w:jc w:val="left"/>
            </w:pPr>
            <w:r>
              <w:t xml:space="preserve">Herbal</w:t>
            </w:r>
          </w:p>
        </w:tc>
        <w:tc>
          <w:tcPr/>
          <w:p>
            <w:pPr>
              <w:pStyle w:val="Compact"/>
              <w:jc w:val="left"/>
            </w:pPr>
            <w:r>
              <w:t xml:space="preserve">−0.018</w:t>
            </w:r>
          </w:p>
        </w:tc>
      </w:tr>
      <w:tr>
        <w:tc>
          <w:tcPr/>
          <w:p>
            <w:pPr>
              <w:pStyle w:val="Compact"/>
              <w:jc w:val="left"/>
            </w:pPr>
            <w:r>
              <w:t xml:space="preserve">German (Konrad)</w:t>
            </w:r>
          </w:p>
        </w:tc>
        <w:tc>
          <w:tcPr/>
          <w:p>
            <w:pPr>
              <w:pStyle w:val="Compact"/>
              <w:jc w:val="left"/>
            </w:pPr>
            <w:r>
              <w:t xml:space="preserve">Botanical</w:t>
            </w:r>
          </w:p>
        </w:tc>
        <w:tc>
          <w:tcPr/>
          <w:p>
            <w:pPr>
              <w:pStyle w:val="Compact"/>
              <w:jc w:val="left"/>
            </w:pPr>
            <w:r>
              <w:t xml:space="preserve">+0.012</w:t>
            </w:r>
          </w:p>
        </w:tc>
      </w:tr>
      <w:tr>
        <w:tc>
          <w:tcPr/>
          <w:p>
            <w:pPr>
              <w:pStyle w:val="Compact"/>
              <w:jc w:val="left"/>
            </w:pPr>
            <w:r>
              <w:t xml:space="preserve">English (Chaucer)</w:t>
            </w:r>
          </w:p>
        </w:tc>
        <w:tc>
          <w:tcPr/>
          <w:p>
            <w:pPr>
              <w:pStyle w:val="Compact"/>
              <w:jc w:val="left"/>
            </w:pPr>
            <w:r>
              <w:t xml:space="preserve">Literary</w:t>
            </w:r>
          </w:p>
        </w:tc>
        <w:tc>
          <w:tcPr/>
          <w:p>
            <w:pPr>
              <w:pStyle w:val="Compact"/>
              <w:jc w:val="left"/>
            </w:pPr>
            <w:r>
              <w:t xml:space="preserve">−0.031</w:t>
            </w:r>
          </w:p>
        </w:tc>
      </w:tr>
    </w:tbl>
    <w:p>
      <w:pPr>
        <w:pStyle w:val="BodyText"/>
      </w:pPr>
      <w:r>
        <w:t xml:space="preserve">Since monoalphabetic substitution preserves AC, and no tested source language has AC ≥ +0.10, no monoalphabetic cipher over these languages can produce the VMS AC value.</w:t>
      </w:r>
    </w:p>
    <w:p>
      <w:pPr>
        <w:pStyle w:val="BodyText"/>
      </w:pPr>
      <w:r>
        <w:rPr>
          <w:bCs/>
          <w:b/>
        </w:rPr>
        <w:t xml:space="preserve">Scope</w:t>
      </w:r>
      <w:r>
        <w:t xml:space="preserve">: This excludes simple substitution only. Verbose homophonic substitution, nomenclator systems, and other non-bijective mappings are not excluded by this argument alone.</w:t>
      </w:r>
    </w:p>
    <w:bookmarkEnd w:id="21"/>
    <w:bookmarkStart w:id="22" w:name="s5.3-word-level-encryption"/>
    <w:p>
      <w:pPr>
        <w:pStyle w:val="Heading2"/>
      </w:pPr>
      <w:r>
        <w:t xml:space="preserve">S5.3 Word-Level Encryption</w:t>
      </w:r>
    </w:p>
    <w:p>
      <w:pPr>
        <w:pStyle w:val="FirstParagraph"/>
      </w:pPr>
      <w:r>
        <w:rPr>
          <w:bCs/>
          <w:b/>
        </w:rPr>
        <w:t xml:space="preserve">Claim</w:t>
      </w:r>
      <w:r>
        <w:t xml:space="preserve">: Any word-boundary-preserving cipher applied to natural language is excluded.</w:t>
      </w:r>
    </w:p>
    <w:p>
      <w:pPr>
        <w:pStyle w:val="BodyText"/>
      </w:pPr>
      <w:r>
        <w:rPr>
          <w:bCs/>
          <w:b/>
        </w:rPr>
        <w:t xml:space="preserve">Argument</w:t>
      </w:r>
      <w:r>
        <w:t xml:space="preserve">: Word-boundary-preserving encryption maps source words to cipher words, preserving word boundaries. Under any such mapping, the mutual information between adjacent cipher words equals the MI between adjacent source words (since MI is invariant under bijective transformation of either variable, and even under many-to-one mappings, MI cannot increase).</w:t>
      </w:r>
    </w:p>
    <w:p>
      <w:pPr>
        <w:pStyle w:val="BodyText"/>
      </w:pPr>
      <w:r>
        <w:t xml:space="preserve">Natural language word-to-word MI₁ ranges from 3–5 bits. VMS MI₁ = 0.45 bits, an order of magnitude below. Decomposition shows 98% derives from vocabulary frequencies (a trivial correlate of word identity) rather than sequential structure.</w:t>
      </w:r>
    </w:p>
    <w:p>
      <w:pPr>
        <w:pStyle w:val="BodyText"/>
      </w:pPr>
      <w:r>
        <w:rPr>
          <w:bCs/>
          <w:b/>
        </w:rPr>
        <w:t xml:space="preserve">Caveat</w:t>
      </w:r>
      <w:r>
        <w:t xml:space="preserve">: This does not exclude verbose homophonic systems where one source word maps to multiple cipher words (breaking the word-boundary preservation). The Naibbe cipher (Greshko 2025) demonstrates that such systems can replicate many VMS word-level statistics, but fail on AC, PFG, and gallows selection grammar.</w:t>
      </w:r>
    </w:p>
    <w:bookmarkEnd w:id="22"/>
    <w:bookmarkStart w:id="23" w:name="s5.4-independent-word-generation-iid"/>
    <w:p>
      <w:pPr>
        <w:pStyle w:val="Heading2"/>
      </w:pPr>
      <w:r>
        <w:t xml:space="preserve">S5.4 Independent Word Generation (IID)</w:t>
      </w:r>
    </w:p>
    <w:p>
      <w:pPr>
        <w:pStyle w:val="FirstParagraph"/>
      </w:pPr>
      <w:r>
        <w:rPr>
          <w:bCs/>
          <w:b/>
        </w:rPr>
        <w:t xml:space="preserve">Claim</w:t>
      </w:r>
      <w:r>
        <w:t xml:space="preserve">: Words are not generated independently, even from position-specific pools.</w:t>
      </w:r>
    </w:p>
    <w:p>
      <w:pPr>
        <w:pStyle w:val="BodyText"/>
      </w:pPr>
      <w:r>
        <w:rPr>
          <w:bCs/>
          <w:b/>
        </w:rPr>
        <w:t xml:space="preserve">Argument</w:t>
      </w:r>
      <w:r>
        <w:t xml:space="preserve">: Under independent word generation (IID sampling), the expected magnitude of length autocorrelation is bounded by the variance structure of the position-specific length distributions. We prove:</w:t>
      </w:r>
    </w:p>
    <w:p>
      <w:pPr>
        <w:pStyle w:val="BodyText"/>
      </w:pPr>
      <w:r>
        <w:t xml:space="preserve">For a sequence of N words drawn IID from position-specific pools with length variance σ²ₚ at position p:</w:t>
      </w:r>
    </w:p>
    <w:p>
      <w:pPr>
        <w:pStyle w:val="SourceCode"/>
      </w:pPr>
      <w:r>
        <w:rPr>
          <w:rStyle w:val="VerbatimChar"/>
        </w:rPr>
        <w:t xml:space="preserve">E[|AC(1)|] ≤ max_p(σ²ₚ) / (N × global_variance)</w:t>
      </w:r>
    </w:p>
    <w:p>
      <w:pPr>
        <w:pStyle w:val="FirstParagraph"/>
      </w:pPr>
      <w:r>
        <w:t xml:space="preserve">For VMS parameters (N = 37,465, σ² ≈ 2.1), this bound is approximately 0.025.</w:t>
      </w:r>
    </w:p>
    <w:p>
      <w:pPr>
        <w:pStyle w:val="BodyText"/>
      </w:pPr>
      <w:r>
        <w:t xml:space="preserve">Simulation with 10,000 replications confirms: no replication exceeds |AC| = 0.028. The observed value (0.160) exceeds the bound by a factor of 6.4 (p &lt; 10⁻⁴).</w:t>
      </w:r>
    </w:p>
    <w:p>
      <w:pPr>
        <w:pStyle w:val="BodyText"/>
      </w:pPr>
      <w:r>
        <w:rPr>
          <w:bCs/>
          <w:b/>
        </w:rPr>
        <w:t xml:space="preserve">The specific coupling mechanism</w:t>
      </w:r>
      <w:r>
        <w:t xml:space="preserve">: The suffix-to-prefix transition grammar (§2.3 of the main paper) identifies the pathway. Each word’s suffix constrains the following word’s prefix through the 8×8 transition matrix, and prefix constrains word length. The coupling propagates through PGCS slot structure, not through direct length dependence.</w:t>
      </w:r>
    </w:p>
    <w:bookmarkEnd w:id="23"/>
    <w:bookmarkStart w:id="24" w:name="s5.5-cardan-grille-rugg-2004"/>
    <w:p>
      <w:pPr>
        <w:pStyle w:val="Heading2"/>
      </w:pPr>
      <w:r>
        <w:t xml:space="preserve">S5.5 Cardan Grille (Rugg 2004)</w:t>
      </w:r>
    </w:p>
    <w:p>
      <w:pPr>
        <w:pStyle w:val="FirstParagraph"/>
      </w:pPr>
      <w:r>
        <w:rPr>
          <w:bCs/>
          <w:b/>
        </w:rPr>
        <w:t xml:space="preserve">Claim</w:t>
      </w:r>
      <w:r>
        <w:t xml:space="preserve">: Grille-based generation is excluded by morphological precision.</w:t>
      </w:r>
    </w:p>
    <w:p>
      <w:pPr>
        <w:pStyle w:val="BodyText"/>
      </w:pPr>
      <w:r>
        <w:rPr>
          <w:bCs/>
          <w:b/>
        </w:rPr>
        <w:t xml:space="preserve">Argument</w:t>
      </w:r>
      <w:r>
        <w:t xml:space="preserve">: The Cardan grille hypothesis proposes that VMS text was generated by sliding a grille over a table of syllables. We tested this by implementing grille-based generators with parameters matching Rugg’s published specification.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Generator</w:t>
            </w:r>
          </w:p>
        </w:tc>
        <w:tc>
          <w:tcPr/>
          <w:p>
            <w:pPr>
              <w:pStyle w:val="Compact"/>
              <w:jc w:val="left"/>
            </w:pPr>
            <w:r>
              <w:t xml:space="preserve">PGCS violation rate</w:t>
            </w:r>
          </w:p>
        </w:tc>
        <w:tc>
          <w:tcPr/>
          <w:p>
            <w:pPr>
              <w:pStyle w:val="Compact"/>
              <w:jc w:val="left"/>
            </w:pPr>
            <w:r>
              <w:t xml:space="preserve">VMS violation rate</w:t>
            </w:r>
          </w:p>
        </w:tc>
      </w:tr>
      <w:tr>
        <w:tc>
          <w:tcPr/>
          <w:p>
            <w:pPr>
              <w:pStyle w:val="Compact"/>
              <w:jc w:val="left"/>
            </w:pPr>
            <w:r>
              <w:t xml:space="preserve">Rugg grille (original)</w:t>
            </w:r>
          </w:p>
        </w:tc>
        <w:tc>
          <w:tcPr/>
          <w:p>
            <w:pPr>
              <w:pStyle w:val="Compact"/>
              <w:jc w:val="left"/>
            </w:pPr>
            <w:r>
              <w:t xml:space="preserve">8.4%</w:t>
            </w:r>
          </w:p>
        </w:tc>
        <w:tc>
          <w:tcPr/>
          <w:p>
            <w:pPr>
              <w:pStyle w:val="Compact"/>
              <w:jc w:val="left"/>
            </w:pPr>
            <w:r>
              <w:t xml:space="preserve">0.0%</w:t>
            </w:r>
          </w:p>
        </w:tc>
      </w:tr>
      <w:tr>
        <w:tc>
          <w:tcPr/>
          <w:p>
            <w:pPr>
              <w:pStyle w:val="Compact"/>
              <w:jc w:val="left"/>
            </w:pPr>
            <w:r>
              <w:t xml:space="preserve">Rugg grille (optimised)</w:t>
            </w:r>
          </w:p>
        </w:tc>
        <w:tc>
          <w:tcPr/>
          <w:p>
            <w:pPr>
              <w:pStyle w:val="Compact"/>
              <w:jc w:val="left"/>
            </w:pPr>
            <w:r>
              <w:t xml:space="preserve">6.7%</w:t>
            </w:r>
          </w:p>
        </w:tc>
        <w:tc>
          <w:tcPr/>
          <w:p>
            <w:pPr>
              <w:pStyle w:val="Compact"/>
              <w:jc w:val="left"/>
            </w:pPr>
            <w:r>
              <w:t xml:space="preserve">0.0%</w:t>
            </w:r>
          </w:p>
        </w:tc>
      </w:tr>
      <w:tr>
        <w:tc>
          <w:tcPr/>
          <w:p>
            <w:pPr>
              <w:pStyle w:val="Compact"/>
              <w:jc w:val="left"/>
            </w:pPr>
            <w:r>
              <w:t xml:space="preserve">VMS self-consistency</w:t>
            </w:r>
          </w:p>
        </w:tc>
        <w:tc>
          <w:tcPr/>
          <w:p>
            <w:pPr>
              <w:pStyle w:val="Compact"/>
              <w:jc w:val="left"/>
            </w:pPr>
            <w:r>
              <w:t xml:space="preserve">0.0%</w:t>
            </w:r>
          </w:p>
        </w:tc>
        <w:tc>
          <w:tcPr/>
          <w:p>
            <w:pPr>
              <w:pStyle w:val="Compact"/>
              <w:jc w:val="left"/>
            </w:pPr>
            <w:r>
              <w:t xml:space="preserve">0.0%</w:t>
            </w:r>
          </w:p>
        </w:tc>
      </w:tr>
    </w:tbl>
    <w:p>
      <w:pPr>
        <w:pStyle w:val="BodyText"/>
      </w:pPr>
      <w:r>
        <w:t xml:space="preserve">The VMS is more morphologically constrained than grille systems can achieve without explicit morphological knowledge. Grille generation produces 6.7–8.4% finite-state violations against the character grammar, while the VMS produces zero.</w:t>
      </w:r>
    </w:p>
    <w:p>
      <w:pPr>
        <w:pStyle w:val="BodyText"/>
      </w:pPr>
      <w:r>
        <w:rPr>
          <w:bCs/>
          <w:b/>
        </w:rPr>
        <w:t xml:space="preserve">Additional failures</w:t>
      </w:r>
      <w:r>
        <w:t>: - Grille generators produce flat position-frequency gradients (PFG ≈ −2 vs VMS −41.2) - Grille generators lack suffix-to-prefix transitions (MI ≈ 0 vs VMS 0.757 bits) - Grille generators cannot produce the autocorrelation signal (AC ≈ 0 vs VMS +0.160)</w:t>
      </w:r>
    </w:p>
    <w:bookmarkEnd w:id="24"/>
    <w:bookmarkStart w:id="25" w:name="s5.6-pure-self-citation-timm-2026"/>
    <w:p>
      <w:pPr>
        <w:pStyle w:val="Heading2"/>
      </w:pPr>
      <w:r>
        <w:t xml:space="preserve">S5.6 Pure Self-Citation (Timm 2026)</w:t>
      </w:r>
    </w:p>
    <w:p>
      <w:pPr>
        <w:pStyle w:val="FirstParagraph"/>
      </w:pPr>
      <w:r>
        <w:rPr>
          <w:bCs/>
          <w:b/>
        </w:rPr>
        <w:t xml:space="preserve">Claim</w:t>
      </w:r>
      <w:r>
        <w:t xml:space="preserve">: Iterative self-citation — copying and modifying previously written words — is excluded as a complete production mechanism.</w:t>
      </w:r>
    </w:p>
    <w:p>
      <w:pPr>
        <w:pStyle w:val="BodyText"/>
      </w:pPr>
      <w:r>
        <w:rPr>
          <w:bCs/>
          <w:b/>
        </w:rPr>
        <w:t xml:space="preserve">Background</w:t>
      </w:r>
      <w:r>
        <w:t xml:space="preserve">: Timm (2026) argues that VMS text is meaningless pseudo-text generated through a dynamic self-citation process in which each new word is produced by copying and modifying a nearby word. Gaskell and Bowern (2022) experimentally confirmed that humans naturally adopt this strategy when asked to produce meaningless text at scale: beyond approximately 100 words, subjects defaulted to copying and modifying existing text. Timm identifies several VMS properties consistent with this mechanism: the connected word network (84.67% of types within a single edit-distance-1 component), asymmetric vocabulary accumulation between Currier A and B, and smooth cosine similarity gradients across the manuscript.</w:t>
      </w:r>
    </w:p>
    <w:p>
      <w:pPr>
        <w:pStyle w:val="BodyText"/>
      </w:pPr>
      <w:r>
        <w:rPr>
          <w:bCs/>
          <w:b/>
        </w:rPr>
        <w:t xml:space="preserve">Test</w:t>
      </w:r>
      <w:r>
        <w:t xml:space="preserve">: We implemented a pure self-citation generator using the 100 most frequent VMS words as seeds, a recency-weighted copy buffer (size 40), a modification rate of 40% (single-character edit), and Schwerdtfeger-style bigram harmony rules as the only structural constraint. No PGCS slot architecture, no transition tables, no position conditioning. We swept six parameter configurations and selected the best performer.</w:t>
      </w:r>
    </w:p>
    <w:p>
      <w:pPr>
        <w:pStyle w:val="BodyText"/>
      </w:pPr>
      <w:r>
        <w:rPr>
          <w:bCs/>
          <w:b/>
        </w:rPr>
        <w:t xml:space="preserve">Results</w:t>
      </w:r>
      <w:r>
        <w:t xml:space="preserve">: The best self-citation generator passes 5 of 15 statistical metrics (33%), compared with 11/15 (73%) for the PGCS generator: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VMS</w:t>
            </w:r>
          </w:p>
        </w:tc>
        <w:tc>
          <w:tcPr/>
          <w:p>
            <w:pPr>
              <w:pStyle w:val="Compact"/>
              <w:jc w:val="left"/>
            </w:pPr>
            <w:r>
              <w:t xml:space="preserve">Self-Citation</w:t>
            </w:r>
          </w:p>
        </w:tc>
        <w:tc>
          <w:tcPr/>
          <w:p>
            <w:pPr>
              <w:pStyle w:val="Compact"/>
              <w:jc w:val="left"/>
            </w:pPr>
            <w:r>
              <w:t xml:space="preserve">Error %</w:t>
            </w:r>
          </w:p>
        </w:tc>
        <w:tc>
          <w:tcPr/>
          <w:p>
            <w:pPr>
              <w:pStyle w:val="Compact"/>
              <w:jc w:val="left"/>
            </w:pPr>
            <w:r>
              <w:t xml:space="preserve">PGCS</w:t>
            </w:r>
          </w:p>
        </w:tc>
        <w:tc>
          <w:tcPr/>
          <w:p>
            <w:pPr>
              <w:pStyle w:val="Compact"/>
              <w:jc w:val="left"/>
            </w:pPr>
            <w:r>
              <w:t xml:space="preserve">Error %</w:t>
            </w:r>
          </w:p>
        </w:tc>
      </w:tr>
      <w:tr>
        <w:tc>
          <w:tcPr/>
          <w:p>
            <w:pPr>
              <w:pStyle w:val="Compact"/>
              <w:jc w:val="left"/>
            </w:pPr>
            <w:r>
              <w:t xml:space="preserve">H₁ conditional entropy</w:t>
            </w:r>
          </w:p>
        </w:tc>
        <w:tc>
          <w:tcPr/>
          <w:p>
            <w:pPr>
              <w:pStyle w:val="Compact"/>
              <w:jc w:val="left"/>
            </w:pPr>
            <w:r>
              <w:t xml:space="preserve">2.342</w:t>
            </w:r>
          </w:p>
        </w:tc>
        <w:tc>
          <w:tcPr/>
          <w:p>
            <w:pPr>
              <w:pStyle w:val="Compact"/>
              <w:jc w:val="left"/>
            </w:pPr>
            <w:r>
              <w:t xml:space="preserve">3.093</w:t>
            </w:r>
          </w:p>
        </w:tc>
        <w:tc>
          <w:tcPr/>
          <w:p>
            <w:pPr>
              <w:pStyle w:val="Compact"/>
              <w:jc w:val="left"/>
            </w:pPr>
            <w:r>
              <w:t xml:space="preserve">32.1%</w:t>
            </w:r>
          </w:p>
        </w:tc>
        <w:tc>
          <w:tcPr/>
          <w:p>
            <w:pPr>
              <w:pStyle w:val="Compact"/>
              <w:jc w:val="left"/>
            </w:pPr>
            <w:r>
              <w:t xml:space="preserve">2.531</w:t>
            </w:r>
          </w:p>
        </w:tc>
        <w:tc>
          <w:tcPr/>
          <w:p>
            <w:pPr>
              <w:pStyle w:val="Compact"/>
              <w:jc w:val="left"/>
            </w:pPr>
            <w:r>
              <w:t xml:space="preserve">8.1%</w:t>
            </w:r>
          </w:p>
        </w:tc>
      </w:tr>
      <w:tr>
        <w:tc>
          <w:tcPr/>
          <w:p>
            <w:pPr>
              <w:pStyle w:val="Compact"/>
              <w:jc w:val="left"/>
            </w:pPr>
            <w:r>
              <w:t xml:space="preserve">Mean word length</w:t>
            </w:r>
          </w:p>
        </w:tc>
        <w:tc>
          <w:tcPr/>
          <w:p>
            <w:pPr>
              <w:pStyle w:val="Compact"/>
              <w:jc w:val="left"/>
            </w:pPr>
            <w:r>
              <w:t xml:space="preserve">4.984</w:t>
            </w:r>
          </w:p>
        </w:tc>
        <w:tc>
          <w:tcPr/>
          <w:p>
            <w:pPr>
              <w:pStyle w:val="Compact"/>
              <w:jc w:val="left"/>
            </w:pPr>
            <w:r>
              <w:t xml:space="preserve">3.966</w:t>
            </w:r>
          </w:p>
        </w:tc>
        <w:tc>
          <w:tcPr/>
          <w:p>
            <w:pPr>
              <w:pStyle w:val="Compact"/>
              <w:jc w:val="left"/>
            </w:pPr>
            <w:r>
              <w:t xml:space="preserve">20.4%</w:t>
            </w:r>
          </w:p>
        </w:tc>
        <w:tc>
          <w:tcPr/>
          <w:p>
            <w:pPr>
              <w:pStyle w:val="Compact"/>
              <w:jc w:val="left"/>
            </w:pPr>
            <w:r>
              <w:t xml:space="preserve">5.170</w:t>
            </w:r>
          </w:p>
        </w:tc>
        <w:tc>
          <w:tcPr/>
          <w:p>
            <w:pPr>
              <w:pStyle w:val="Compact"/>
              <w:jc w:val="left"/>
            </w:pPr>
            <w:r>
              <w:t xml:space="preserve">3.7%</w:t>
            </w:r>
          </w:p>
        </w:tc>
      </w:tr>
      <w:tr>
        <w:tc>
          <w:tcPr/>
          <w:p>
            <w:pPr>
              <w:pStyle w:val="Compact"/>
              <w:jc w:val="left"/>
            </w:pPr>
            <w:r>
              <w:t xml:space="preserve">Edit-distance network degree</w:t>
            </w:r>
          </w:p>
        </w:tc>
        <w:tc>
          <w:tcPr/>
          <w:p>
            <w:pPr>
              <w:pStyle w:val="Compact"/>
              <w:jc w:val="left"/>
            </w:pPr>
            <w:r>
              <w:t xml:space="preserve">5.393</w:t>
            </w:r>
          </w:p>
        </w:tc>
        <w:tc>
          <w:tcPr/>
          <w:p>
            <w:pPr>
              <w:pStyle w:val="Compact"/>
              <w:jc w:val="left"/>
            </w:pPr>
            <w:r>
              <w:t xml:space="preserve">10.093</w:t>
            </w:r>
          </w:p>
        </w:tc>
        <w:tc>
          <w:tcPr/>
          <w:p>
            <w:pPr>
              <w:pStyle w:val="Compact"/>
              <w:jc w:val="left"/>
            </w:pPr>
            <w:r>
              <w:t xml:space="preserve">87.1%</w:t>
            </w:r>
          </w:p>
        </w:tc>
        <w:tc>
          <w:tcPr/>
          <w:p>
            <w:pPr>
              <w:pStyle w:val="Compact"/>
              <w:jc w:val="left"/>
            </w:pPr>
            <w:r>
              <w:t xml:space="preserve">4.973</w:t>
            </w:r>
          </w:p>
        </w:tc>
        <w:tc>
          <w:tcPr/>
          <w:p>
            <w:pPr>
              <w:pStyle w:val="Compact"/>
              <w:jc w:val="left"/>
            </w:pPr>
            <w:r>
              <w:t xml:space="preserve">7.8%</w:t>
            </w:r>
          </w:p>
        </w:tc>
      </w:tr>
      <w:tr>
        <w:tc>
          <w:tcPr/>
          <w:p>
            <w:pPr>
              <w:pStyle w:val="Compact"/>
              <w:jc w:val="left"/>
            </w:pPr>
            <w:r>
              <w:t xml:space="preserve">Freq-connectivity correlation</w:t>
            </w:r>
          </w:p>
        </w:tc>
        <w:tc>
          <w:tcPr/>
          <w:p>
            <w:pPr>
              <w:pStyle w:val="Compact"/>
              <w:jc w:val="left"/>
            </w:pPr>
            <w:r>
              <w:t xml:space="preserve">0.616</w:t>
            </w:r>
          </w:p>
        </w:tc>
        <w:tc>
          <w:tcPr/>
          <w:p>
            <w:pPr>
              <w:pStyle w:val="Compact"/>
              <w:jc w:val="left"/>
            </w:pPr>
            <w:r>
              <w:t xml:space="preserve">0.463</w:t>
            </w:r>
          </w:p>
        </w:tc>
        <w:tc>
          <w:tcPr/>
          <w:p>
            <w:pPr>
              <w:pStyle w:val="Compact"/>
              <w:jc w:val="left"/>
            </w:pPr>
            <w:r>
              <w:t xml:space="preserve">—</w:t>
            </w:r>
          </w:p>
        </w:tc>
        <w:tc>
          <w:tcPr/>
          <w:p>
            <w:pPr>
              <w:pStyle w:val="Compact"/>
              <w:jc w:val="left"/>
            </w:pPr>
            <w:r>
              <w:t xml:space="preserve">0.624</w:t>
            </w:r>
          </w:p>
        </w:tc>
        <w:tc>
          <w:tcPr/>
          <w:p>
            <w:pPr>
              <w:pStyle w:val="Compact"/>
              <w:jc w:val="left"/>
            </w:pPr>
            <w:r>
              <w:t xml:space="preserve">—</w:t>
            </w:r>
          </w:p>
        </w:tc>
      </w:tr>
      <w:tr>
        <w:tc>
          <w:tcPr/>
          <w:p>
            <w:pPr>
              <w:pStyle w:val="Compact"/>
              <w:jc w:val="left"/>
            </w:pPr>
            <w:r>
              <w:t xml:space="preserve">Suffix-bearing tokens</w:t>
            </w:r>
          </w:p>
        </w:tc>
        <w:tc>
          <w:tcPr/>
          <w:p>
            <w:pPr>
              <w:pStyle w:val="Compact"/>
              <w:jc w:val="left"/>
            </w:pPr>
            <w:r>
              <w:t xml:space="preserve">93.5%</w:t>
            </w:r>
          </w:p>
        </w:tc>
        <w:tc>
          <w:tcPr/>
          <w:p>
            <w:pPr>
              <w:pStyle w:val="Compact"/>
              <w:jc w:val="left"/>
            </w:pPr>
            <w:r>
              <w:t xml:space="preserve">59.9%</w:t>
            </w:r>
          </w:p>
        </w:tc>
        <w:tc>
          <w:tcPr/>
          <w:p>
            <w:pPr>
              <w:pStyle w:val="Compact"/>
              <w:jc w:val="left"/>
            </w:pPr>
            <w:r>
              <w:t xml:space="preserve">35.9%</w:t>
            </w:r>
          </w:p>
        </w:tc>
        <w:tc>
          <w:tcPr/>
          <w:p>
            <w:pPr>
              <w:pStyle w:val="Compact"/>
              <w:jc w:val="left"/>
            </w:pPr>
            <w:r>
              <w:t xml:space="preserve">93.5%</w:t>
            </w:r>
          </w:p>
        </w:tc>
        <w:tc>
          <w:tcPr/>
          <w:p>
            <w:pPr>
              <w:pStyle w:val="Compact"/>
              <w:jc w:val="left"/>
            </w:pPr>
            <w:r>
              <w:t xml:space="preserve">0.0%</w:t>
            </w:r>
          </w:p>
        </w:tc>
      </w:tr>
      <w:tr>
        <w:tc>
          <w:tcPr/>
          <w:p>
            <w:pPr>
              <w:pStyle w:val="Compact"/>
              <w:jc w:val="left"/>
            </w:pPr>
            <w:r>
              <w:t xml:space="preserve">Adjacent repetition rate</w:t>
            </w:r>
          </w:p>
        </w:tc>
        <w:tc>
          <w:tcPr/>
          <w:p>
            <w:pPr>
              <w:pStyle w:val="Compact"/>
              <w:jc w:val="left"/>
            </w:pPr>
            <w:r>
              <w:t xml:space="preserve">0.83%</w:t>
            </w:r>
          </w:p>
        </w:tc>
        <w:tc>
          <w:tcPr/>
          <w:p>
            <w:pPr>
              <w:pStyle w:val="Compact"/>
              <w:jc w:val="left"/>
            </w:pPr>
            <w:r>
              <w:t xml:space="preserve">5.5%</w:t>
            </w:r>
          </w:p>
        </w:tc>
        <w:tc>
          <w:tcPr/>
          <w:p>
            <w:pPr>
              <w:pStyle w:val="Compact"/>
              <w:jc w:val="left"/>
            </w:pPr>
            <w:r>
              <w:t xml:space="preserve">569%</w:t>
            </w:r>
          </w:p>
        </w:tc>
        <w:tc>
          <w:tcPr/>
          <w:p>
            <w:pPr>
              <w:pStyle w:val="Compact"/>
              <w:jc w:val="left"/>
            </w:pPr>
            <w:r>
              <w:t xml:space="preserve">1.3%</w:t>
            </w:r>
          </w:p>
        </w:tc>
        <w:tc>
          <w:tcPr/>
          <w:p>
            <w:pPr>
              <w:pStyle w:val="Compact"/>
              <w:jc w:val="left"/>
            </w:pPr>
            <w:r>
              <w:t xml:space="preserve">58%</w:t>
            </w:r>
          </w:p>
        </w:tc>
      </w:tr>
    </w:tbl>
    <w:p>
      <w:pPr>
        <w:pStyle w:val="BodyText"/>
      </w:pPr>
      <w:r>
        <w:rPr>
          <w:bCs/>
          <w:b/>
        </w:rPr>
        <w:t xml:space="preserve">Structural failures</w:t>
      </w:r>
      <w:r>
        <w:t xml:space="preserve">: The self-citation generator produces tokens in which the suffix is identifiable only 59.9% of the time, compared with 93.5% in the VMS. Single-character edits operating without slot awareness disrupt the boundary between core and suffix, progressively destroying the four-slot architecture that the VMS maintains across 37,465 tokens. Positional constraints also degrade: </w:t>
      </w:r>
      <w:r>
        <w:rPr>
          <w:iCs/>
          <w:i/>
        </w:rPr>
        <w:t xml:space="preserve">q</w:t>
      </w:r>
      <w:r>
        <w:t xml:space="preserve"> appears in word-initial position 89.8% of the time (VMS: 99.4%), </w:t>
      </w:r>
      <w:r>
        <w:rPr>
          <w:iCs/>
          <w:i/>
        </w:rPr>
        <w:t xml:space="preserve">m</w:t>
      </w:r>
      <w:r>
        <w:t xml:space="preserve"> in word-final position 86.1% (VMS: 95.5%).</w:t>
      </w:r>
    </w:p>
    <w:p>
      <w:pPr>
        <w:pStyle w:val="BodyText"/>
      </w:pPr>
      <w:r>
        <w:rPr>
          <w:bCs/>
          <w:b/>
        </w:rPr>
        <w:t xml:space="preserve">Network topology</w:t>
      </w:r>
      <w:r>
        <w:t xml:space="preserve">: Pure self-citation produces nearly double the edit-distance-1 network density of the VMS (mean degree 10.1 vs 5.4). Unconstrained character-level edits generate more near-neighbours than slot-constrained edits. The PGCS architecture limits which modifications are valid, producing the VMS’s characteristic moderate connectivity.</w:t>
      </w:r>
    </w:p>
    <w:p>
      <w:pPr>
        <w:pStyle w:val="BodyText"/>
      </w:pPr>
      <w:r>
        <w:rPr>
          <w:bCs/>
          <w:b/>
        </w:rPr>
        <w:t xml:space="preserve">Timm’s signature metric</w:t>
      </w:r>
      <w:r>
        <w:t xml:space="preserve">: The frequency-connectivity correlation — Timm’s strongest claimed evidence for self-citation — is better reproduced by the slot-constrained generator (r = 0.624) than by pure self-citation (r = 0.463). The constraint architecture, not the copying process, produces the correct network topology.</w:t>
      </w:r>
    </w:p>
    <w:p>
      <w:pPr>
        <w:pStyle w:val="BodyText"/>
      </w:pPr>
      <w:r>
        <w:rPr>
          <w:bCs/>
          <w:b/>
        </w:rPr>
        <w:t xml:space="preserve">Within-suffix coupling</w:t>
      </w:r>
      <w:r>
        <w:t xml:space="preserve">: The VP↔Terminal NMI under pure self-citation is 0.473, compared with 0.644 in the VMS and 0.615 in the PGCS generator. Self-citation produces some coupling through inheritance (copied words retain their VP-terminal pairing), but edits degrade it faster than the VMS tolerates.</w:t>
      </w:r>
    </w:p>
    <w:p>
      <w:pPr>
        <w:pStyle w:val="BodyText"/>
      </w:pPr>
      <w:r>
        <w:rPr>
          <w:bCs/>
          <w:b/>
        </w:rPr>
        <w:t xml:space="preserve">Scope</w:t>
      </w:r>
      <w:r>
        <w:t xml:space="preserve">: Self-citation is not excluded as a </w:t>
      </w:r>
      <w:r>
        <w:rPr>
          <w:iCs/>
          <w:i/>
        </w:rPr>
        <w:t xml:space="preserve">component</w:t>
      </w:r>
      <w:r>
        <w:t xml:space="preserve"> of the production mechanism. It is excluded as a </w:t>
      </w:r>
      <w:r>
        <w:rPr>
          <w:iCs/>
          <w:i/>
        </w:rPr>
        <w:t xml:space="preserve">sufficient</w:t>
      </w:r>
      <w:r>
        <w:t xml:space="preserve"> explanation. The evidence is consistent with self-citation operating within a structural framework equivalent to the PGCS slot architecture, whether that framework was consciously designed or developed through scribal training.</w:t>
      </w:r>
    </w:p>
    <w:p>
      <w:pPr>
        <w:pStyle w:val="BodyText"/>
      </w:pPr>
      <w:r>
        <w:rPr>
          <w:bCs/>
          <w:b/>
        </w:rPr>
        <w:t xml:space="preserve">Scribal calibration</w:t>
      </w:r>
      <w:r>
        <w:t xml:space="preserve">: A historically grounded scribal model — implementing calligraphic ductus constraints (character categories grouped by pen-stroke type, producing a four-slot structure analogous to PGCS) and experimentally validated self-citation rates, with no VMS-derived parameters — passes 7/15 metrics. This model matches structural properties (mean word length 4.999 vs 4.984; network degree 5.31 vs 5.39; frequency-connectivity correlation 0.608 vs 0.616) but fails on lexical diversity (hapax 29.3% vs 68.3%) and within-suffix coupling (NMI 0.403 vs 0.644). The structural layer of VMS text is consistent with 15th-century scribal practice; the combinatorial layer requires additional constraints. The distinction between designed notation and deeply habituated scribal practice is not resolvable from the text alone (§9 of the main paper).</w:t>
      </w:r>
    </w:p>
    <w:bookmarkEnd w:id="25"/>
    <w:bookmarkStart w:id="26" w:name="s5.7-summary-the-constraint-space"/>
    <w:p>
      <w:pPr>
        <w:pStyle w:val="Heading2"/>
      </w:pPr>
      <w:r>
        <w:t xml:space="preserve">S5.7 Summary: The Constraint Space</w:t>
      </w:r>
    </w:p>
    <w:p>
      <w:pPr>
        <w:pStyle w:val="FirstParagraph"/>
      </w:pPr>
      <w:r>
        <w:t xml:space="preserve">Any admissible production mechanism must simultaneously satisfy all constraints listed in Table 4 of the main paper. No tested single mechanism satisfies more than 77% of the full 84-metric suite (65/84, Gen-05). Pure self-citation (Timm 2026) satisfies 33% of the 15-metric rapid-screening benchmark; a historically grounded scribal model satisfies 47%; only the PGCS stochastic generator, explicitly designed to satisfy all structural constraints without semantic content, achieves 77% of the full suite and approaches the 86% self-consistency ceiling.</w:t>
      </w:r>
    </w:p>
    <w:p>
      <w:pPr>
        <w:pStyle w:val="BodyText"/>
      </w:pPr>
      <w:r>
        <w:t xml:space="preserve">The within-suffix coupling (NMI(VP; terminal) = 0.644) provides an additional discriminating constraint. This combinatorial structure is reproduced by the PGCS generator (0.615) but not by scribal training alone (0.403) or pure self-citation (0.473), establishing that the production mechanism must enforce within-suffix co-occurrence constraints beyond what calligraphic habit alone produces.</w:t>
      </w:r>
    </w:p>
    <w:p>
      <w:pPr>
        <w:pStyle w:val="BodyText"/>
      </w:pPr>
      <w:r>
        <w:t xml:space="preserve">The gap between the generator ceiling (77%) and self-consistency ceiling (86%) represents genuine production dynamics that no structural constraint captures: frequency spectrum shape, local diversity rates, and the accumulated effect of extended scribal practice. The information budget’s 71.1% unexplained entropy is the upper bound on content; the remaining gap between generator performance and perfect reproduction reflects structure-independent variation.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2026-02-28T08:28:27Z</dcterms:created>
  <dcterms:modified xsi:type="dcterms:W3CDTF">2026-02-28T08:28:27Z</dcterms:modified>
</cp:coreProperties>
</file>

<file path=docProps/custom.xml><?xml version="1.0" encoding="utf-8"?>
<Properties xmlns="http://schemas.openxmlformats.org/officeDocument/2006/custom-properties" xmlns:vt="http://schemas.openxmlformats.org/officeDocument/2006/docPropsVTypes"/>
</file>