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Slot Grammar, Self-Citation, and the Key Page:</w:t>
      </w:r>
    </w:p>
    <w:p>
      <w:pPr>
        <w:spacing w:after="360"/>
        <w:jc w:val="center"/>
      </w:pPr>
      <w:r>
        <w:rPr>
          <w:rFonts w:ascii="Times New Roman" w:cs="Times New Roman" w:eastAsia="Times New Roman" w:hAnsi="Times New Roman"/>
          <w:b/>
          <w:bCs/>
          <w:sz w:val="32"/>
          <w:szCs w:val="32"/>
        </w:rPr>
        <w:t xml:space="preserve">How the Voynich Manuscript Documents Its Own Construction</w:t>
      </w:r>
    </w:p>
    <w:p>
      <w:pPr>
        <w:spacing w:after="60"/>
        <w:jc w:val="center"/>
      </w:pPr>
      <w:r>
        <w:rPr>
          <w:rFonts w:ascii="Times New Roman" w:cs="Times New Roman" w:eastAsia="Times New Roman" w:hAnsi="Times New Roman"/>
          <w:sz w:val="26"/>
          <w:szCs w:val="26"/>
        </w:rPr>
        <w:t xml:space="preserve">Edward Bozzard</w:t>
      </w:r>
    </w:p>
    <w:p>
      <w:pPr>
        <w:spacing w:after="60"/>
        <w:jc w:val="center"/>
      </w:pPr>
      <w:r>
        <w:rPr>
          <w:rFonts w:ascii="Times New Roman" w:cs="Times New Roman" w:eastAsia="Times New Roman" w:hAnsi="Times New Roman"/>
          <w:i/>
          <w:iCs/>
          <w:sz w:val="22"/>
          <w:szCs w:val="22"/>
        </w:rPr>
        <w:t xml:space="preserve">Independent Researcher</w:t>
      </w:r>
    </w:p>
    <w:p>
      <w:pPr>
        <w:spacing w:after="60"/>
        <w:jc w:val="center"/>
      </w:pPr>
      <w:r>
        <w:rPr>
          <w:rFonts w:ascii="Times New Roman" w:cs="Times New Roman" w:eastAsia="Times New Roman" w:hAnsi="Times New Roman"/>
          <w:sz w:val="22"/>
          <w:szCs w:val="22"/>
        </w:rPr>
        <w:t xml:space="preserve">ORCID: 0009-0002-4052-0994</w:t>
      </w:r>
    </w:p>
    <w:p>
      <w:pPr>
        <w:spacing w:after="400"/>
        <w:jc w:val="center"/>
      </w:pPr>
      <w:r>
        <w:rPr>
          <w:rFonts w:ascii="Times New Roman" w:cs="Times New Roman" w:eastAsia="Times New Roman" w:hAnsi="Times New Roman"/>
          <w:sz w:val="22"/>
          <w:szCs w:val="22"/>
        </w:rPr>
        <w:t xml:space="preserve">Corresponding author: edwardbozzard@gmail.com</w:t>
      </w:r>
    </w:p>
    <w:p>
      <w:pPr>
        <w:pStyle w:val="Heading1"/>
        <w:spacing w:before="480" w:after="240" w:line="36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The Voynich Manuscript (Beinecke MS 408) has resisted decipherment for over five centuries, yet its text is not random: character entropy, word-frequency distributions, and vocabulary diversity all fall within natural-language ranges. We formalise the positional character constraints as a four-slot morphological grammar (Prefix + Gallows + Core + Suffix, hereafter PGCS), validated at 92.96% character coverage with zero violations on 3,930 held-out word types. The grammar corresponds to the sole distributional metric that Gaskell and Bowern's (2022) experimental gibberish could not replicate.</w:t>
      </w:r>
    </w:p>
    <w:p>
      <w:pPr>
        <w:spacing w:after="200" w:line="360"/>
        <w:jc w:val="both"/>
      </w:pPr>
      <w:r>
        <w:rPr>
          <w:rFonts w:ascii="Times New Roman" w:cs="Times New Roman" w:eastAsia="Times New Roman" w:hAnsi="Times New Roman"/>
          <w:sz w:val="24"/>
          <w:szCs w:val="24"/>
        </w:rPr>
        <w:t xml:space="preserve">A generator hierarchy demonstrates that self-citation without grammar reproduces 45 of 84 distributional metrics; adding the PGCS slot architecture raises this to 57, a categorical jump (p = 1.59 × 10⁻¹², Cohen's d = 1.83). Five production rules operationalise the grammar as a copy-mutate process: copy a recent word, modify it slot by slot. When we then examined folio 57v, we found a reference diagram for the production method already inside the manuscript. Four concentric text rings present, in order, the system's building blocks, annotated examples, a character inventory, and running output. The page confirms the PGCS architecture independently of corpus statistics (p &lt; 10⁻⁴³ for the character-inventory match) and demonstrates the copy-mutate mechanism the grammar predicts. A generator reading only f57v, with zero access to the remaining corpus, scores 34/84, demonstrating the page is sufficient to initiate production. The five production rules raise the generator to 65/84 metrics (77%), significantly outperforming both the best published cipher (Greshko's Naibbe, 62%) and bare copy-mutate without grammar (Timm and Schinner, 48%).</w:t>
      </w:r>
    </w:p>
    <w:p>
      <w:pPr>
        <w:spacing w:after="200" w:line="360"/>
        <w:jc w:val="both"/>
      </w:pPr>
      <w:r>
        <w:rPr>
          <w:rFonts w:ascii="Times New Roman" w:cs="Times New Roman" w:eastAsia="Times New Roman" w:hAnsi="Times New Roman"/>
          <w:sz w:val="24"/>
          <w:szCs w:val="24"/>
        </w:rPr>
        <w:t xml:space="preserve">Cross-line analysis confirms the production method in the manuscript itself: 83.8% of all 37,239 scoreable tokens match a nearby source at two or more slots, a rate exceeding three independent null models by more than 25 standard deviations.</w:t>
      </w:r>
    </w:p>
    <w:p>
      <w:pPr>
        <w:spacing w:after="200" w:line="360"/>
        <w:jc w:val="both"/>
      </w:pPr>
      <w:r>
        <w:rPr>
          <w:rFonts w:ascii="Times New Roman" w:cs="Times New Roman" w:eastAsia="Times New Roman" w:hAnsi="Times New Roman"/>
          <w:sz w:val="24"/>
          <w:szCs w:val="24"/>
        </w:rPr>
        <w:t xml:space="preserve">The combined results close three doors on the cipher hypothesis. First, the text bears the statistical fingerprint of generation, not encryption: sub-word structure is preserved while word-order structure is absent. Second, the PGCS grammar is language-agnostic; every natural language tested produces a plausible match, rendering every proposed decipherment unfalsifiable. Third, a cipher interpretation requires approximately 29 times the information density of a comparable fifteenth-century pharmaceutical manuscript, with 61% of running text missing the slot assigned to specific content. The production question has an answer the manuscript provides on folio 57v. The meaning question remains open.</w:t>
      </w:r>
    </w:p>
    <w:p>
      <w:pPr>
        <w:spacing w:before="200" w:after="30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Voynich Manuscript, PGCS, slot grammar, self-citation, text generation, folio 57v, cipher falsification, computational linguistics</w:t>
      </w:r>
    </w:p>
    <w:p>
      <w:pPr>
        <w:pStyle w:val="Heading1"/>
        <w:spacing w:before="480" w:after="240" w:lin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Voynich Manuscript has resisted decipherment for over five centuries (d'Imperio 1978). Character-level bigram entropy (h₂ ≈ 2.1 bits) falls within the range of natural scripts. Word-frequency distributions follow Zipf's law (R² = 0.919). Vocabulary diversity matches natural language corpora, and nine manuscript sections are distinguishable by vocabulary alone at 76–81% balanced accuracy under cross-validated logistic regression (Montemurro and Zanette 2013; Bowern and Lindemann 2021). By every surface metric, the text behaves like language.</w:t>
      </w:r>
    </w:p>
    <w:p>
      <w:pPr>
        <w:spacing w:after="200" w:line="360"/>
        <w:jc w:val="both"/>
      </w:pPr>
      <w:r>
        <w:rPr>
          <w:rFonts w:ascii="Times New Roman" w:cs="Times New Roman" w:eastAsia="Times New Roman" w:hAnsi="Times New Roman"/>
          <w:sz w:val="24"/>
          <w:szCs w:val="24"/>
        </w:rPr>
        <w:t xml:space="preserve">Beneath this surface, every attempt to recover lexical meaning has failed. No cipher proposal has produced readable text. No statistical clustering of tokens aligns with the manuscript's illustrations. Shuffling word order within folios does not degrade section classification, because the signal is vocabulary-based, not syntactic. The text has structure without recoverable semantics.</w:t>
      </w:r>
    </w:p>
    <w:p>
      <w:pPr>
        <w:spacing w:after="200" w:line="360"/>
        <w:jc w:val="both"/>
      </w:pPr>
      <w:r>
        <w:rPr>
          <w:rFonts w:ascii="Times New Roman" w:cs="Times New Roman" w:eastAsia="Times New Roman" w:hAnsi="Times New Roman"/>
          <w:sz w:val="24"/>
          <w:szCs w:val="24"/>
        </w:rPr>
        <w:t xml:space="preserve">Three lines of argument dominate VMS scholarship. The cipher tradition assumes the text encodes natural language. All published decipherments have failed reproducibility tests (d'Imperio 1978; Reddy and Knight 2011); from Strong (1945) through Newbold (1928) to the present, no proposed mapping has produced verifiable plaintext. The most rigorous recent contribution is Greshko (2025), who constructed a verbose homophonic substitution cipher (the Naibbe cipher) that encrypts Latin and Italian into VMS-like ciphertext using historically plausible fifteenth-century materials. The Naibbe cipher is important because it demonstrates that cipher production is mechanically feasible; whether it was actually used is a separate question.</w:t>
      </w:r>
    </w:p>
    <w:p>
      <w:pPr>
        <w:spacing w:after="200" w:line="360"/>
        <w:jc w:val="both"/>
      </w:pPr>
      <w:r>
        <w:rPr>
          <w:rFonts w:ascii="Times New Roman" w:cs="Times New Roman" w:eastAsia="Times New Roman" w:hAnsi="Times New Roman"/>
          <w:sz w:val="24"/>
          <w:szCs w:val="24"/>
        </w:rPr>
        <w:t xml:space="preserve">The hoax tradition proposes mechanical generation. Rugg (2004) demonstrated Cardan grille production; Schinner (2007) argued on statistical grounds. Timm and Schinner (2020) proposed a concrete mechanism unifying the stochastic and hoax traditions: self-citation, the iterative copying and modification of previously written words. Their algorithm produces Zipf-compliant text with VMS-like frequency distributions without any source language, an existence proof that no plaintext is required. Timm and Schinner (2024) extended the model, and Timm (2026) makes the strongest claim yet: self-citation explains the text fully, and static analytical frameworks are invalid because the text is inherently dynamic.</w:t>
      </w:r>
    </w:p>
    <w:p>
      <w:pPr>
        <w:spacing w:after="200" w:line="360"/>
        <w:jc w:val="both"/>
      </w:pPr>
      <w:r>
        <w:rPr>
          <w:rFonts w:ascii="Times New Roman" w:cs="Times New Roman" w:eastAsia="Times New Roman" w:hAnsi="Times New Roman"/>
          <w:sz w:val="24"/>
          <w:szCs w:val="24"/>
        </w:rPr>
        <w:t xml:space="preserve">The linguistic tradition documents statistical regularities without claiming decipherment. Currier (1976) and Tiltman (1967) identified positional character preferences. Matlach, Janečková, and Dostál (2022) found symbol-role patterns using information-theoretic analysis. Most consequentially, Gaskell and Bowern (2022) conducted the first experimental study of VMS-like text production, recruiting 42 volunteers to write meaningless text and comparing the results against VMS and a corpus of meaningful texts. Their random forest classifier, trained on 90 metrics extracted from a 932-document corpus, identified VMS as more closely resembling gibberish than meaningful text, with the strongest discriminating features being character-position bias, word-position bias, compression, repeated words, and word-length autocorrelation.</w:t>
      </w:r>
    </w:p>
    <w:p>
      <w:pPr>
        <w:spacing w:after="200" w:line="360"/>
        <w:jc w:val="both"/>
      </w:pPr>
      <w:r>
        <w:rPr>
          <w:rFonts w:ascii="Times New Roman" w:cs="Times New Roman" w:eastAsia="Times New Roman" w:hAnsi="Times New Roman"/>
          <w:sz w:val="24"/>
          <w:szCs w:val="24"/>
        </w:rPr>
        <w:t xml:space="preserve">Gaskell and Bowern identified one metric their gibberish samples could not replicate: the degree to which individual VMS characters are confined to specific word positions (for example, o appears overwhelmingly word-initially; y word-finally; e only in word-internal positions). They attributed this positional rigidity to "typographic considerations which cannot be tested rigorously using texts restricted to the lowercase Latin alphabet." They also concluded that "a viable approach to future work... may be to use the lessons learned here to construct automated algorithms which can generate larger volumes of gibberish."</w:t>
      </w:r>
    </w:p>
    <w:p>
      <w:pPr>
        <w:spacing w:after="200" w:line="360"/>
        <w:jc w:val="both"/>
      </w:pPr>
      <w:r>
        <w:rPr>
          <w:rFonts w:ascii="Times New Roman" w:cs="Times New Roman" w:eastAsia="Times New Roman" w:hAnsi="Times New Roman"/>
          <w:sz w:val="24"/>
          <w:szCs w:val="24"/>
        </w:rPr>
        <w:t xml:space="preserve">This paper implements that programme, with four contributions. First, we formalise the positional character constraints as a four-slot morphological grammar and show that Gaskell and Bowern's unreplicated metric is not typographic but morphological: 210 falsifiable rules with zero held-out violations (§2). Second, we construct a generator hierarchy demonstrating that self-citation with grammar produces a categorical improvement over self-citation without it, and operationalise the grammar as five production rules that break through the generator ceiling (§3). Third, we identify folio 57v as a reference diagram for the production method, a page inside the manuscript that independently confirms the grammar derived from corpus statistics (§4). Fourth, we trace the production method word by word in the manuscript itself (§§5–6) and show the consequences for the cipher hypothesis (§§7–8).</w:t>
      </w:r>
    </w:p>
    <w:p>
      <w:pPr>
        <w:pStyle w:val="Heading1"/>
        <w:spacing w:before="480" w:after="240" w:line="360"/>
      </w:pPr>
      <w:r>
        <w:rPr>
          <w:rFonts w:ascii="Times New Roman" w:cs="Times New Roman" w:eastAsia="Times New Roman" w:hAnsi="Times New Roman"/>
          <w:b/>
          <w:bCs/>
          <w:sz w:val="28"/>
          <w:szCs w:val="28"/>
        </w:rPr>
        <w:t xml:space="preserve">2. The PGCS Grammar</w:t>
      </w:r>
    </w:p>
    <w:p>
      <w:pPr>
        <w:pStyle w:val="Heading2"/>
        <w:spacing w:before="360" w:after="200" w:line="360"/>
      </w:pPr>
      <w:r>
        <w:rPr>
          <w:rFonts w:ascii="Times New Roman" w:cs="Times New Roman" w:eastAsia="Times New Roman" w:hAnsi="Times New Roman"/>
          <w:b/>
          <w:bCs/>
          <w:sz w:val="26"/>
          <w:szCs w:val="26"/>
        </w:rPr>
        <w:t xml:space="preserve">2.1 From Stolfi to Four Slots</w:t>
      </w:r>
    </w:p>
    <w:p>
      <w:pPr>
        <w:spacing w:after="200" w:line="360"/>
        <w:jc w:val="both"/>
      </w:pPr>
      <w:r>
        <w:rPr>
          <w:rFonts w:ascii="Times New Roman" w:cs="Times New Roman" w:eastAsia="Times New Roman" w:hAnsi="Times New Roman"/>
          <w:sz w:val="24"/>
          <w:szCs w:val="24"/>
        </w:rPr>
        <w:t xml:space="preserve">All analyses use the Zandbergen-Landini-Zandbergen-IVTFF (ZLZI) transcription (Zandbergen 2024), comprising 37,465 tokens and 7,598 word types across 226 folios. Structural findings have been validated against five additional full-coverage EVA transcription systems, with per-slot entropy shifts of ±0.01 to ±0.18 bits (Supplement S4).</w:t>
      </w:r>
    </w:p>
    <w:p>
      <w:pPr>
        <w:spacing w:after="200" w:line="360"/>
        <w:jc w:val="both"/>
      </w:pPr>
      <w:r>
        <w:rPr>
          <w:rFonts w:ascii="Times New Roman" w:cs="Times New Roman" w:eastAsia="Times New Roman" w:hAnsi="Times New Roman"/>
          <w:sz w:val="24"/>
          <w:szCs w:val="24"/>
        </w:rPr>
        <w:t xml:space="preserve">Stolfi (2005) proposed a three-layer crust-mantle-core grammar for VMS words, establishing that character positions are constrained. His "crust" grouped all word-initial elements into a single layer: gallows characters (k, t, p, f), digraphs (ch, sh), and simple prefixes (o, y, d, s, qo) occupied the same structural tier. The PGCS model splits this crust into two ordered slots, Prefix and Gallows, with one consequential change: recognising that ch and sh always precede gallows characters when both are present, placing them in the Prefix slot rather than alongside gallows. This reclassification is not cosmetic. Under Stolfi's model, ch and sh share a layer with k and t; under PGCS, they precede them, and the ordering is strict.</w:t>
      </w:r>
    </w:p>
    <w:p>
      <w:pPr>
        <w:spacing w:after="200" w:line="360"/>
        <w:jc w:val="both"/>
      </w:pPr>
      <w:r>
        <w:rPr>
          <w:rFonts w:ascii="Times New Roman" w:cs="Times New Roman" w:eastAsia="Times New Roman" w:hAnsi="Times New Roman"/>
          <w:sz w:val="24"/>
          <w:szCs w:val="24"/>
        </w:rPr>
        <w:t xml:space="preserve">Folio 57v provides independent support for this split. Ring 2's character inventory lists c as a primitive alongside the other skeleton characters (o, l, d, r, v, x, k, m, f/p, t, y) but does not list ch or sh. Ring 4's building blocks similarly list c as a single character, while listing the multi-character suffixes aiin and ar as atomic blocks at the same spacing. The scribe's inventory distinguishes two levels of assembly: characters that are primitives (c appears alone) and multi-character units that are pre-assembled (aiin and ar). Paleographically, ch and sh are single glyphs — continuous pen-strokes, not two characters written adjacently — but they share a visible structural relationship with c and s respectively. Ring 2 lists the simpler member of each family (c, s) without the bench-augmented form (ch, sh), suggesting the inventory records base elements from which the scribe's full repertoire can be inferred. This is consistent with prefix status: ch and sh function as unitary glyphs occupying word-initial position before any gallows character, distinct from c and s which appear elsewhere in the word.</w:t>
      </w:r>
    </w:p>
    <w:p>
      <w:pPr>
        <w:spacing w:after="200" w:line="360"/>
        <w:jc w:val="both"/>
      </w:pPr>
      <w:r>
        <w:rPr>
          <w:rFonts w:ascii="Times New Roman" w:cs="Times New Roman" w:eastAsia="Times New Roman" w:hAnsi="Times New Roman"/>
          <w:sz w:val="24"/>
          <w:szCs w:val="24"/>
        </w:rPr>
        <w:t xml:space="preserve">This reclassification affects 24,964 tokens (66.6% of the corpus). Under three-slot models, ch and sh were grouped with gallows characters, obscuring the internal structure of common words. Under PGCS, the word chedy parses as [ch | ∅ | ∅ | edy], a function word with empty gallows and empty core, rather than [∅ | ch | e | dy], a content word. The reclassification reveals that 52.7% of all tokens have empty cores, a rate invisible under any model that folds gallows into core. It nearly halves core-suffix mutual information (from 1.860 to 0.976 bits), identifies the prefix-gallows association as the strongest pairwise coupling in the system (Cramér's V = 0.266), and produces the scale separation between gallows (9 closed-class types) and core (2,001 open-class types, of which 1,029 appear three times or fewer) that structures the entire grammar.</w:t>
      </w:r>
    </w:p>
    <w:p>
      <w:pPr>
        <w:pStyle w:val="Heading2"/>
        <w:spacing w:before="360" w:after="200" w:line="360"/>
      </w:pPr>
      <w:r>
        <w:rPr>
          <w:rFonts w:ascii="Times New Roman" w:cs="Times New Roman" w:eastAsia="Times New Roman" w:hAnsi="Times New Roman"/>
          <w:b/>
          <w:bCs/>
          <w:sz w:val="26"/>
          <w:szCs w:val="26"/>
        </w:rPr>
        <w:t xml:space="preserve">2.2 The Four Slots</w:t>
      </w:r>
    </w:p>
    <w:p>
      <w:pPr>
        <w:spacing w:after="200" w:line="360"/>
        <w:jc w:val="both"/>
      </w:pPr>
      <w:r>
        <w:rPr>
          <w:rFonts w:ascii="Times New Roman" w:cs="Times New Roman" w:eastAsia="Times New Roman" w:hAnsi="Times New Roman"/>
          <w:sz w:val="24"/>
          <w:szCs w:val="24"/>
        </w:rPr>
        <w:t xml:space="preserve">The Prefix slot contains 8 types (o, d, y, s, ch, sh, qo, and the empty prefix) occupying word-initial position before any gallows character. The Gallows slot contains 9 types (k, t, p, f and their bench variants ckh, cth, cph, cfh, plus the empty gallows). The Core slot is open-class with 2,001 distinct values plus the empty core; core length ranges from 1 to 7+ characters, with 52.7% of tokens carrying empty cores. The Suffix slot organises 33 surface forms into 7 families (Y-family: y, edy, ey, eey, eedy, dy, ody, chy, shy; N-family: aiin, ain, iin, n, aiiin; L-family: ol, al, l; R-family: ar, or, r, ir; M-family: am, m; BARE: no ending; plus the ED-family unique to specific sections). Table 1 summarises the four slots.</w:t>
      </w:r>
    </w:p>
    <w:p>
      <w:pPr>
        <w:spacing w:after="200" w:line="360"/>
        <w:jc w:val="both"/>
      </w:pPr>
      <w:r>
        <w:rPr>
          <w:rFonts w:ascii="Times New Roman" w:cs="Times New Roman" w:eastAsia="Times New Roman" w:hAnsi="Times New Roman"/>
          <w:sz w:val="24"/>
          <w:szCs w:val="24"/>
        </w:rPr>
        <w:t xml:space="preserve">[TABLE 1: The PGCS Slot Grammar]</w:t>
      </w:r>
    </w:p>
    <w:p>
      <w:pPr>
        <w:spacing w:after="200" w:line="360"/>
        <w:jc w:val="both"/>
      </w:pPr>
      <w:r>
        <w:rPr>
          <w:rFonts w:ascii="Times New Roman" w:cs="Times New Roman" w:eastAsia="Times New Roman" w:hAnsi="Times New Roman"/>
          <w:sz w:val="24"/>
          <w:szCs w:val="24"/>
        </w:rPr>
        <w:t xml:space="preserve">Slot | Class | Inventory | Key properties</w:t>
      </w:r>
    </w:p>
    <w:p>
      <w:pPr>
        <w:spacing w:after="200" w:line="360"/>
        <w:jc w:val="both"/>
      </w:pPr>
      <w:r>
        <w:rPr>
          <w:rFonts w:ascii="Times New Roman" w:cs="Times New Roman" w:eastAsia="Times New Roman" w:hAnsi="Times New Roman"/>
          <w:sz w:val="24"/>
          <w:szCs w:val="24"/>
        </w:rPr>
        <w:t xml:space="preserve">Prefix | Closed (8 types) | o, ch, sh, d, y, s, qo, empty | Single glyphs; ch and sh are unitary characters sharing structural kinship with c and s</w:t>
      </w:r>
    </w:p>
    <w:p>
      <w:pPr>
        <w:spacing w:after="200" w:line="360"/>
        <w:jc w:val="both"/>
      </w:pPr>
      <w:r>
        <w:rPr>
          <w:rFonts w:ascii="Times New Roman" w:cs="Times New Roman" w:eastAsia="Times New Roman" w:hAnsi="Times New Roman"/>
          <w:sz w:val="24"/>
          <w:szCs w:val="24"/>
        </w:rPr>
        <w:t xml:space="preserve">Gallows | Closed (9 types) | k, t, p, f, ckh, cth, cph, cfh, empty | Section-specific defaults; f/p interchangeable (f57v Ring 2)</w:t>
      </w:r>
    </w:p>
    <w:p>
      <w:pPr>
        <w:spacing w:after="200" w:line="360"/>
        <w:jc w:val="both"/>
      </w:pPr>
      <w:r>
        <w:rPr>
          <w:rFonts w:ascii="Times New Roman" w:cs="Times New Roman" w:eastAsia="Times New Roman" w:hAnsi="Times New Roman"/>
          <w:sz w:val="24"/>
          <w:szCs w:val="24"/>
        </w:rPr>
        <w:t xml:space="preserve">Core | Open (2,001 types) | Variable length (1-7+ chars) | 52.7% of tokens have empty core; 173 valid character bigrams</w:t>
      </w:r>
    </w:p>
    <w:p>
      <w:pPr>
        <w:spacing w:after="200" w:line="360"/>
        <w:jc w:val="both"/>
      </w:pPr>
      <w:r>
        <w:rPr>
          <w:rFonts w:ascii="Times New Roman" w:cs="Times New Roman" w:eastAsia="Times New Roman" w:hAnsi="Times New Roman"/>
          <w:sz w:val="24"/>
          <w:szCs w:val="24"/>
        </w:rPr>
        <w:t xml:space="preserve">Suffix | Semi-closed (7 families, 33 forms) | Y, N, L, R, M, BARE, ED | Atomic blocks (f57v Ring 4); strongest coupling with core (MI = 0.474 bits)</w:t>
      </w:r>
    </w:p>
    <w:p>
      <w:pPr>
        <w:spacing w:after="200" w:line="360"/>
        <w:jc w:val="both"/>
      </w:pPr>
      <w:r>
        <w:rPr>
          <w:rFonts w:ascii="Times New Roman" w:cs="Times New Roman" w:eastAsia="Times New Roman" w:hAnsi="Times New Roman"/>
          <w:sz w:val="24"/>
          <w:szCs w:val="24"/>
        </w:rPr>
        <w:t xml:space="preserve">[FIGURE 1: The PGCS four-slot architecture, showing slot ordering, class sizes, and example parses for representative word types. See fig1_pgcs_slot_diagram.svg]</w:t>
      </w:r>
    </w:p>
    <w:p>
      <w:pPr>
        <w:spacing w:after="200" w:line="360"/>
        <w:jc w:val="both"/>
      </w:pPr>
      <w:r>
        <w:rPr>
          <w:rFonts w:ascii="Times New Roman" w:cs="Times New Roman" w:eastAsia="Times New Roman" w:hAnsi="Times New Roman"/>
          <w:sz w:val="24"/>
          <w:szCs w:val="24"/>
        </w:rPr>
        <w:t xml:space="preserve">The grammar is formalised as 210 rules: 81 character-sequence constraints, 52 pair-adjacency rules, 41 suffix rules, and 36 positional and structural constraints. Character coverage is 92.96%. To test generalisation, 40% of the corpus was held out by folio during grammar development. The held-out set contains 3,930 unique word types not seen during rule development. Zero violations were found (full derivation, validation protocol, and alternative-slot comparisons in Supplement S1). Comparison against all alternative slot assignments yields a decomposition error of 0.001 bits for PGCS versus 1.074 bits for the best three-slot alternative, roughly a 1,000-fold difference.</w:t>
      </w:r>
    </w:p>
    <w:p>
      <w:pPr>
        <w:spacing w:after="200" w:line="360"/>
        <w:jc w:val="both"/>
      </w:pPr>
      <w:r>
        <w:rPr>
          <w:rFonts w:ascii="Times New Roman" w:cs="Times New Roman" w:eastAsia="Times New Roman" w:hAnsi="Times New Roman"/>
          <w:sz w:val="24"/>
          <w:szCs w:val="24"/>
        </w:rPr>
        <w:t xml:space="preserve">The PGCS grammar is the structural source of what Gaskell and Bowern (2022) measured as rigid character-position confinement within words, the sole metric their experimental gibberish could not replicate. What they attributed to "typographic considerations" turns out to be morphological: characters are position-locked because each belongs to a specific slot, and the slots are ordered. A four-slot grammar with 210 falsifiable rules, not a visual artefact of scribal aesthetics.</w:t>
      </w:r>
    </w:p>
    <w:p>
      <w:pPr>
        <w:pStyle w:val="Heading2"/>
        <w:spacing w:before="360" w:after="200" w:line="360"/>
      </w:pPr>
      <w:r>
        <w:rPr>
          <w:rFonts w:ascii="Times New Roman" w:cs="Times New Roman" w:eastAsia="Times New Roman" w:hAnsi="Times New Roman"/>
          <w:b/>
          <w:bCs/>
          <w:sz w:val="26"/>
          <w:szCs w:val="26"/>
        </w:rPr>
        <w:t xml:space="preserve">2.3 What the Grammar Reveals</w:t>
      </w:r>
    </w:p>
    <w:p>
      <w:pPr>
        <w:spacing w:after="200" w:line="360"/>
        <w:jc w:val="both"/>
      </w:pPr>
      <w:r>
        <w:rPr>
          <w:rFonts w:ascii="Times New Roman" w:cs="Times New Roman" w:eastAsia="Times New Roman" w:hAnsi="Times New Roman"/>
          <w:sz w:val="24"/>
          <w:szCs w:val="24"/>
        </w:rPr>
        <w:t xml:space="preserve">The chain rule of entropy decomposes word-selection entropy H(quad) = 9.124 bits into a grammatical component and a content component. Five conditioning axes (section identity, line position, previous suffix family, paragraph flag, and quire) together explain 2.634 bits (28.9% of quad entropy). The remaining 71.1% is the content signal: the specific lexical choices that distinguish one passage from another. The largest single increment comes from the suffix-to-prefix transition axis (0.757 bits), which identifies the coupling between a word's ending and the following word's beginning as the strongest sequential dependency in the text. This transition grammar also explains the positive word-length autocorrelation (AC = +0.160) that Gaskell and Bowern identified as a distinguishing property of VMS (full derivation in Supplement S2).</w:t>
      </w:r>
    </w:p>
    <w:p>
      <w:pPr>
        <w:spacing w:after="200" w:line="360"/>
        <w:jc w:val="both"/>
      </w:pPr>
      <w:r>
        <w:rPr>
          <w:rFonts w:ascii="Times New Roman" w:cs="Times New Roman" w:eastAsia="Times New Roman" w:hAnsi="Times New Roman"/>
          <w:sz w:val="24"/>
          <w:szCs w:val="24"/>
        </w:rPr>
        <w:t xml:space="preserve">The position grammar confirms Currier's (1976) observation that the line is a functional unit. The M-suffix appears as a line-ending marker at 14.9% of final positions versus 1.8% penultimate (Z = 57.8), and the d-prefix is enriched at line-initial position (15.3% versus 10.1%). These positional signals are binary switches tied to the line boundary, not gradual gradients.</w:t>
      </w:r>
    </w:p>
    <w:p>
      <w:pPr>
        <w:spacing w:after="200" w:line="360"/>
        <w:jc w:val="both"/>
      </w:pPr>
      <w:r>
        <w:rPr>
          <w:rFonts w:ascii="Times New Roman" w:cs="Times New Roman" w:eastAsia="Times New Roman" w:hAnsi="Times New Roman"/>
          <w:sz w:val="24"/>
          <w:szCs w:val="24"/>
        </w:rPr>
        <w:t xml:space="preserve">A production mechanism's quality depends as much on what it excludes as on what it produces. The over-generation test quantifies this. From a theoretical space of 656,208 possible four-slot combinations (8 prefixes × 9 gallows × 1,302 classified core types × 7 suffix families), only 5,172 (0.79%) are attested, a 127-fold compression. Of these, 75.4% have exactly one surface realisation: for three-quarters of the PGCS vocabulary, the four-slot combination uniquely determines the word. A character-adjacency ledger, recording which characters may follow which regardless of slot boundaries, licenses at least 700 times more forms than are attested. The unconstrained free product of slot inventories produces 86 times more forms. Only the attested slot co-occurrences achieve the correct compression, with 75.4% unique realisation. When line position is added as a fifth conditioning axis, the compression increases to 292-fold (Supplement S1).</w:t>
      </w:r>
    </w:p>
    <w:p>
      <w:pPr>
        <w:spacing w:after="200" w:line="360"/>
        <w:jc w:val="both"/>
      </w:pPr>
      <w:r>
        <w:rPr>
          <w:rFonts w:ascii="Times New Roman" w:cs="Times New Roman" w:eastAsia="Times New Roman" w:hAnsi="Times New Roman"/>
          <w:sz w:val="24"/>
          <w:szCs w:val="24"/>
        </w:rPr>
        <w:t xml:space="preserve">The strongest coupling in the dataset is between core and suffix-family selection (MI = 0.474 bits; Z = 215.0 against the null of independence): certain cores preferentially take certain suffixes. Even visually similar cores (edit distance = 1) produce significantly different suffix profiles in 73.6% of 280 tested pairs. The grammar tracks morphemic identity at fine granularity. The suffix decomposition reveals a further structural property: the coupling between vowel prefix and terminal consonant within suffixes is strong (NMI = 0.644), meaning that suffixes operate as a constrained combinatorial system rather than a free product of independent axes.</w:t>
      </w:r>
    </w:p>
    <w:p>
      <w:pPr>
        <w:spacing w:after="200" w:line="360"/>
        <w:jc w:val="both"/>
      </w:pPr>
      <w:r>
        <w:rPr>
          <w:rFonts w:ascii="Times New Roman" w:cs="Times New Roman" w:eastAsia="Times New Roman" w:hAnsi="Times New Roman"/>
          <w:sz w:val="24"/>
          <w:szCs w:val="24"/>
        </w:rPr>
        <w:t xml:space="preserve">The manuscript's vocabulary is sharply bimodal. Of 7,598 word types, 5,189 (68.3%) are hapax legomena, types occurring exactly once. The remaining 2,409 types account for 32,276 tokens (86.2% of running text). These two classes differ systematically in morphological structure: among hapax types, 97% have filled cores; among non-hapax running text, 61% consists of empty-core tokens. The top ten empty-core types alone (daiin, ol, chedy, aiin, shedy, chol, ar, or, chey, s) account for 4,858 tokens. Timm and Schinner's (2020) self-citation model predicts that hapax legomena should be accidental products of the copy-modify process, words that happened not to be reused, and should have the same internal structure as frequently copied words. They do not. Whatever process generated the manuscript's text used one strategy for producing high-frequency template words (empty-core, closed-class) and a different strategy for producing the long tail of single-use types (filled-core, open-class). This bimodal structure connects to the information budget: the 71.1% unexplained entropy is concentrated in the hapax stratum, precisely the variability that the content layer measures.</w:t>
      </w:r>
    </w:p>
    <w:p>
      <w:pPr>
        <w:pStyle w:val="Heading2"/>
        <w:spacing w:before="360" w:after="200" w:line="360"/>
      </w:pPr>
      <w:r>
        <w:rPr>
          <w:rFonts w:ascii="Times New Roman" w:cs="Times New Roman" w:eastAsia="Times New Roman" w:hAnsi="Times New Roman"/>
          <w:b/>
          <w:bCs/>
          <w:sz w:val="26"/>
          <w:szCs w:val="26"/>
        </w:rPr>
        <w:t xml:space="preserve">2.4 Compactness and the Mirror Property</w:t>
      </w:r>
    </w:p>
    <w:p>
      <w:pPr>
        <w:spacing w:after="200" w:line="360"/>
        <w:jc w:val="both"/>
      </w:pPr>
      <w:r>
        <w:rPr>
          <w:rFonts w:ascii="Times New Roman" w:cs="Times New Roman" w:eastAsia="Times New Roman" w:hAnsi="Times New Roman"/>
          <w:sz w:val="24"/>
          <w:szCs w:val="24"/>
        </w:rPr>
        <w:t xml:space="preserve">The grammar is compact. The entire PGCS specification compresses to approximately 450 table entries: 25 functional glyphs, 65 prefix-gallows pairs, 66 suffix entries, 56 transition weights, and 231 core character bigrams. This is, roughly, the capacity of a single VMS page. A scribe carrying a single leaf could, in principle, produce text satisfying the correct entropy scaling pattern across sections.</w:t>
      </w:r>
    </w:p>
    <w:p>
      <w:pPr>
        <w:spacing w:after="200" w:line="360"/>
        <w:jc w:val="both"/>
      </w:pPr>
      <w:r>
        <w:rPr>
          <w:rFonts w:ascii="Times New Roman" w:cs="Times New Roman" w:eastAsia="Times New Roman" w:hAnsi="Times New Roman"/>
          <w:sz w:val="24"/>
          <w:szCs w:val="24"/>
        </w:rPr>
        <w:t xml:space="preserve">Fagin Davis (2020) identified five distinct scribal hands in the Voynich Manuscript. If five scribes shared the same positional grammar, PGCS is not a personal habit but a learnable, transmissible method: a shared protocol that multiple practitioners could follow with different distributional parameter settings. A single scribe generating intuitive gibberish would produce text with gradually shifting properties; multiple scribes following a shared grammar would produce text with discrete distributional breaks between sections but consistent structural rules throughout. The VMS looks like the latter. The section-level variation looks less like drift than like different people working from the same recipe (Supplement S3, Panel B).</w:t>
      </w:r>
    </w:p>
    <w:p>
      <w:pPr>
        <w:spacing w:after="200" w:line="360"/>
        <w:jc w:val="both"/>
      </w:pPr>
      <w:r>
        <w:rPr>
          <w:rFonts w:ascii="Times New Roman" w:cs="Times New Roman" w:eastAsia="Times New Roman" w:hAnsi="Times New Roman"/>
          <w:sz w:val="24"/>
          <w:szCs w:val="24"/>
        </w:rPr>
        <w:t xml:space="preserve">One structural property of the grammar has consequences for the cipher hypothesis. The constraints are formal, not semantic: they restrict the shape of words without specifying what the words mean. Every natural language tested against PGCS (Latin, Italian, Turkish, Chinese, Nahuatl, Hebrew) produces a plausible statistical match. Each match is genuine in the narrow sense that the grammar accommodates it; none is verifiable because the grammar accommodates them all. A cipher derived from a specific source language should discriminate between candidates. A production grammar that constrains form without encoding meaning would not. §7 returns to this property and its consequences.</w:t>
      </w:r>
    </w:p>
    <w:p>
      <w:pPr>
        <w:pStyle w:val="Heading1"/>
        <w:spacing w:before="480" w:after="240" w:line="360"/>
      </w:pPr>
      <w:r>
        <w:rPr>
          <w:rFonts w:ascii="Times New Roman" w:cs="Times New Roman" w:eastAsia="Times New Roman" w:hAnsi="Times New Roman"/>
          <w:b/>
          <w:bCs/>
          <w:sz w:val="28"/>
          <w:szCs w:val="28"/>
        </w:rPr>
        <w:t xml:space="preserve">3. The Generator Hierarchy</w:t>
      </w:r>
    </w:p>
    <w:p>
      <w:pPr>
        <w:pStyle w:val="Heading2"/>
        <w:spacing w:before="360" w:after="200" w:line="360"/>
      </w:pPr>
      <w:r>
        <w:rPr>
          <w:rFonts w:ascii="Times New Roman" w:cs="Times New Roman" w:eastAsia="Times New Roman" w:hAnsi="Times New Roman"/>
          <w:b/>
          <w:bCs/>
          <w:sz w:val="26"/>
          <w:szCs w:val="26"/>
        </w:rPr>
        <w:t xml:space="preserve">3.1 Design</w:t>
      </w:r>
    </w:p>
    <w:p>
      <w:pPr>
        <w:spacing w:after="200" w:line="360"/>
        <w:jc w:val="both"/>
      </w:pPr>
      <w:r>
        <w:rPr>
          <w:rFonts w:ascii="Times New Roman" w:cs="Times New Roman" w:eastAsia="Times New Roman" w:hAnsi="Times New Roman"/>
          <w:sz w:val="24"/>
          <w:szCs w:val="24"/>
        </w:rPr>
        <w:t xml:space="preserve">Gaskell and Bowern called for automated algorithms generating larger volumes of gibberish. We constructed 19 generator variants in three families: three zero-corpus generators that read only folio 57v (testing whether the reference page alone can specify the production method); six pre-grammar generators operating without PGCS structure; and ten post-grammar generators incorporating the slot grammar and production rules inferred from the PGCS architecture.</w:t>
      </w:r>
    </w:p>
    <w:p>
      <w:pPr>
        <w:spacing w:after="200" w:line="360"/>
        <w:jc w:val="both"/>
      </w:pPr>
      <w:r>
        <w:rPr>
          <w:rFonts w:ascii="Times New Roman" w:cs="Times New Roman" w:eastAsia="Times New Roman" w:hAnsi="Times New Roman"/>
          <w:sz w:val="24"/>
          <w:szCs w:val="24"/>
        </w:rPr>
        <w:t xml:space="preserve">The zero-corpus family tests how much of the manuscript’s statistical signature can be recovered from folio 57v alone, with no access to the rest of the corpus. Gen-00 reads only the f57v transcription and generates text from the character inventory and suffix blocks documented on that page. Two scribal variants (Gen-0M and Gen-0W) implement progressively more elaborate production rules derived from f57v, testing whether a scribe equipped with the reference page but no practice could approximate VMS statistics. The pre-grammar family comprises generators of increasing sophistication: a character-level bigram generator seeded from f1r; a scribal-hand variant; a P70C-profiled generator; a dual-vocabulary (Currier A/B) generator; a section-profiled generator; and a combined model integrating all pre-grammar refinements. None implements the PGCS slot architecture. The post-grammar family adds the four-slot grammar, beginning with a template-based copy-mutate generator and progressing through ductus filtering, suffix correction, gallows co-occurrence constraints, line-start rounding, and scribal variant models. Each tier implements self-citation within progressively more detailed structural constraints (complete specifications in Supplement S3).</w:t>
      </w:r>
    </w:p>
    <w:p>
      <w:pPr>
        <w:spacing w:after="200" w:line="360"/>
        <w:jc w:val="both"/>
      </w:pPr>
      <w:r>
        <w:rPr>
          <w:rFonts w:ascii="Times New Roman" w:cs="Times New Roman" w:eastAsia="Times New Roman" w:hAnsi="Times New Roman"/>
          <w:sz w:val="24"/>
          <w:szCs w:val="24"/>
        </w:rPr>
        <w:t xml:space="preserve">Each generator is scored against 84 distributional metrics: 42 drawn from the Gaskell and Bowern benchmark suite and 42 structural metrics derived from our own PGCS analyses. Scoring is binary: a metric passes if the generator's median value across seeds (10 for zero-corpus and post-grammar, 5 for pre-grammar) falls within a per-metric tolerance of the VMS baseline. An additional 15 impossibility diagnostics are tracked separately.</w:t>
      </w:r>
    </w:p>
    <w:p>
      <w:pPr>
        <w:pStyle w:val="Heading2"/>
        <w:spacing w:before="360" w:after="200" w:line="360"/>
      </w:pPr>
      <w:r>
        <w:rPr>
          <w:rFonts w:ascii="Times New Roman" w:cs="Times New Roman" w:eastAsia="Times New Roman" w:hAnsi="Times New Roman"/>
          <w:b/>
          <w:bCs/>
          <w:sz w:val="26"/>
          <w:szCs w:val="26"/>
        </w:rPr>
        <w:t xml:space="preserve">3.2 The Ceiling Argument</w:t>
      </w:r>
    </w:p>
    <w:p>
      <w:pPr>
        <w:spacing w:after="200" w:line="360"/>
        <w:jc w:val="both"/>
      </w:pPr>
      <w:r>
        <w:rPr>
          <w:rFonts w:ascii="Times New Roman" w:cs="Times New Roman" w:eastAsia="Times New Roman" w:hAnsi="Times New Roman"/>
          <w:sz w:val="24"/>
          <w:szCs w:val="24"/>
        </w:rPr>
        <w:t xml:space="preserve">Under rescoring with the corrected 84-metric suite, the hierarchy spans four tiers. At the floor, Gen-00 (reading only folio 57v, with zero access to the rest of the corpus) scores 34/84, establishing what a single reference page can specify without practice. This already exceeds the pre-grammar scribal baseline (32/84), meaning one page of production instructions outperforms a full statistical scribal model. Individual generators overlap between families. The simplest grammar-enabled generator (Gen-02, 45/84) matches the best stochastic baseline (Bigram, 45/84). The separation is at the ceiling: no pre-grammar generator exceeds 57/84 regardless of tuning; eight of ten post-grammar generators exceed this threshold.</w:t>
      </w:r>
    </w:p>
    <w:p>
      <w:pPr>
        <w:spacing w:after="200" w:line="360"/>
        <w:jc w:val="both"/>
      </w:pPr>
      <w:r>
        <w:rPr>
          <w:rFonts w:ascii="Times New Roman" w:cs="Times New Roman" w:eastAsia="Times New Roman" w:hAnsi="Times New Roman"/>
          <w:sz w:val="24"/>
          <w:szCs w:val="24"/>
        </w:rPr>
        <w:t xml:space="preserve">At the family level, post-grammar generators significantly outperform pre-grammar generators across the full 84-metric suite (Mann-Whitney U, p = 1.59 × 10⁻¹², Cohen's d = 1.83; n = 30 pre-grammar seeds, n = 100 post-grammar seeds; zero-corpus family excluded as a separate baseline). The improvement is present in both Gaskell and Bowern-origin metrics and custom structural metrics. Grammar-enabled generators essentially saturate the Gaskell and Bowern benchmark; the residual gap concentrates in metrics not included in their original suite.</w:t>
      </w:r>
    </w:p>
    <w:p>
      <w:pPr>
        <w:spacing w:after="200" w:line="360"/>
        <w:jc w:val="both"/>
      </w:pPr>
      <w:r>
        <w:rPr>
          <w:rFonts w:ascii="Times New Roman" w:cs="Times New Roman" w:eastAsia="Times New Roman" w:hAnsi="Times New Roman"/>
          <w:sz w:val="24"/>
          <w:szCs w:val="24"/>
        </w:rPr>
        <w:t xml:space="preserve">[FIGURE 2: Generator hierarchy showing all 19 variants scored against the 84-metric suite, with error bars across seeds. Reference lines at 34 (zero-corpus baseline from f57v alone), 45 (stochastic baseline), 57 (pre-grammar ceiling), and 65 (post-grammar ceiling).]</w:t>
      </w:r>
    </w:p>
    <w:p>
      <w:pPr>
        <w:spacing w:after="200" w:line="360"/>
        <w:jc w:val="both"/>
      </w:pPr>
      <w:r>
        <w:rPr>
          <w:rFonts w:ascii="Times New Roman" w:cs="Times New Roman" w:eastAsia="Times New Roman" w:hAnsi="Times New Roman"/>
          <w:sz w:val="24"/>
          <w:szCs w:val="24"/>
        </w:rPr>
        <w:t xml:space="preserve">A self-consistency check bounds the achievable ceiling. Splitting the VMS corpus into two disjoint halves by folio under four partition schemes, the manuscript agrees with itself on 86% of the 84-metric suite (median across partitions). The best pre-grammar generator (Section-Profiled) reaches 57/84 on the full suite, or 68%, well below self-consistency. On the Gaskell and Bowern 42-metric subset alone, the same generator reaches 37/42 (88%), which slightly exceeds self-consistency because the 42-metric subset excludes the metrics that drive the split-half disagreement.</w:t>
      </w:r>
    </w:p>
    <w:p>
      <w:pPr>
        <w:spacing w:after="200" w:line="360"/>
        <w:jc w:val="both"/>
      </w:pPr>
      <w:r>
        <w:rPr>
          <w:rFonts w:ascii="Times New Roman" w:cs="Times New Roman" w:eastAsia="Times New Roman" w:hAnsi="Times New Roman"/>
          <w:sz w:val="24"/>
          <w:szCs w:val="24"/>
        </w:rPr>
        <w:t xml:space="preserve">This result confirms Timm and Schinner's (2020) core insight: self-citation is a powerful text production mechanism. When operating on raw vocabulary it accounts for approximately 45 of 84 distributional properties; with section profiling it reaches 57. The grammar is what raises the ceiling further, and the difference is not incremental.</w:t>
      </w:r>
    </w:p>
    <w:p>
      <w:pPr>
        <w:pStyle w:val="Heading2"/>
        <w:spacing w:before="360" w:after="200" w:line="360"/>
      </w:pPr>
      <w:r>
        <w:rPr>
          <w:rFonts w:ascii="Times New Roman" w:cs="Times New Roman" w:eastAsia="Times New Roman" w:hAnsi="Times New Roman"/>
          <w:b/>
          <w:bCs/>
          <w:sz w:val="26"/>
          <w:szCs w:val="26"/>
        </w:rPr>
        <w:t xml:space="preserve">3.3 The Remaining Gap</w:t>
      </w:r>
    </w:p>
    <w:p>
      <w:pPr>
        <w:spacing w:after="200" w:line="360"/>
        <w:jc w:val="both"/>
      </w:pPr>
      <w:r>
        <w:rPr>
          <w:rFonts w:ascii="Times New Roman" w:cs="Times New Roman" w:eastAsia="Times New Roman" w:hAnsi="Times New Roman"/>
          <w:sz w:val="24"/>
          <w:szCs w:val="24"/>
        </w:rPr>
        <w:t xml:space="preserve">Extensive parameter exploration (template pools, section-specific profiles, ductus filtering, and systematic optimisation) did not breach the pre-grammar ceiling at 57/84. Three metrics resisted simultaneously: word-length autocorrelation (AC(1) = +0.160), lexical repetition rate (0.008), and local vocabulary diversity (MATTR-25 = 0.919).</w:t>
      </w:r>
    </w:p>
    <w:p>
      <w:pPr>
        <w:spacing w:after="200" w:line="360"/>
        <w:jc w:val="both"/>
      </w:pPr>
      <w:r>
        <w:rPr>
          <w:rFonts w:ascii="Times New Roman" w:cs="Times New Roman" w:eastAsia="Times New Roman" w:hAnsi="Times New Roman"/>
          <w:sz w:val="24"/>
          <w:szCs w:val="24"/>
        </w:rPr>
        <w:t xml:space="preserve">Gaskell and Bowern (2022) independently identified two of these three among the ten most important features in their random forest classifier. This convergence was not designed: we selected metrics that jointly resist reproduction across generator tiers, and they selected metrics that best discriminate production mechanisms. The overlap tells us something structural about VMS production.</w:t>
      </w:r>
    </w:p>
    <w:p>
      <w:pPr>
        <w:spacing w:after="200" w:line="360"/>
        <w:jc w:val="both"/>
      </w:pPr>
      <w:r>
        <w:rPr>
          <w:rFonts w:ascii="Times New Roman" w:cs="Times New Roman" w:eastAsia="Times New Roman" w:hAnsi="Times New Roman"/>
          <w:sz w:val="24"/>
          <w:szCs w:val="24"/>
        </w:rPr>
        <w:t xml:space="preserve">The constraint is mechanical: copying adjacent words raises word-length autocorrelation but also raises repetition and reduces diversity; generating novel words preserves diversity but eliminates autocorrelation. The VMS achieves both simultaneously: a same-length-successive-word rate of 4.47% indicates many consecutive pairs sharing length without sharing identity. No configuration within the pre-grammar family reproduced this combination.</w:t>
      </w:r>
    </w:p>
    <w:p>
      <w:pPr>
        <w:spacing w:after="200" w:line="360"/>
        <w:jc w:val="both"/>
      </w:pPr>
      <w:r>
        <w:rPr>
          <w:rFonts w:ascii="Times New Roman" w:cs="Times New Roman" w:eastAsia="Times New Roman" w:hAnsi="Times New Roman"/>
          <w:sz w:val="24"/>
          <w:szCs w:val="24"/>
        </w:rPr>
        <w:t xml:space="preserve">As generators become more structurally specified, their output converges toward the gibberish end of the Gaskell and Bowern classifier. The residual gap characterises the production mechanism's specificity, not the presence of hidden semantic content.</w:t>
      </w:r>
    </w:p>
    <w:p>
      <w:pPr>
        <w:pStyle w:val="Heading1"/>
        <w:spacing w:before="480" w:after="240" w:line="360"/>
      </w:pPr>
      <w:r>
        <w:rPr>
          <w:rFonts w:ascii="Times New Roman" w:cs="Times New Roman" w:eastAsia="Times New Roman" w:hAnsi="Times New Roman"/>
          <w:b/>
          <w:bCs/>
          <w:sz w:val="28"/>
          <w:szCs w:val="28"/>
        </w:rPr>
        <w:t xml:space="preserve">4. The Key Page</w:t>
      </w:r>
    </w:p>
    <w:p>
      <w:pPr>
        <w:pStyle w:val="Heading2"/>
        <w:spacing w:before="360" w:after="200" w:line="360"/>
      </w:pPr>
      <w:r>
        <w:rPr>
          <w:rFonts w:ascii="Times New Roman" w:cs="Times New Roman" w:eastAsia="Times New Roman" w:hAnsi="Times New Roman"/>
          <w:b/>
          <w:bCs/>
          <w:sz w:val="26"/>
          <w:szCs w:val="26"/>
        </w:rPr>
        <w:t xml:space="preserve">4.1 What the Page Shows</w:t>
      </w:r>
    </w:p>
    <w:p>
      <w:pPr>
        <w:spacing w:after="200" w:line="360"/>
        <w:jc w:val="both"/>
      </w:pPr>
      <w:r>
        <w:rPr>
          <w:rFonts w:ascii="Times New Roman" w:cs="Times New Roman" w:eastAsia="Times New Roman" w:hAnsi="Times New Roman"/>
          <w:sz w:val="24"/>
          <w:szCs w:val="24"/>
        </w:rPr>
        <w:t xml:space="preserve">Folio 57v is a circular diagram with four concentric text rings surrounding four human figures. A single radial line at approximately 10 o'clock marks the start point for all four rings. Reading clockwise from this line, the four rings present, in order, the building blocks of the writing system, annotated examples, a systematic character inventory, and running text. The page progresses outward from parts to output.</w:t>
      </w:r>
    </w:p>
    <w:p>
      <w:pPr>
        <w:spacing w:after="200" w:line="360"/>
        <w:jc w:val="both"/>
      </w:pPr>
      <w:r>
        <w:rPr>
          <w:rFonts w:ascii="Times New Roman" w:cs="Times New Roman" w:eastAsia="Times New Roman" w:hAnsi="Times New Roman"/>
          <w:sz w:val="24"/>
          <w:szCs w:val="24"/>
        </w:rPr>
        <w:t xml:space="preserve">Stolfi (1998) identified a repeating character sequence in one ring and documented the variation pattern, titling the page "The 4 times 17 sequence." The present analysis reinterprets the page as a production reference for the writing system (Figure 3).</w:t>
      </w:r>
    </w:p>
    <w:p>
      <w:pPr>
        <w:spacing w:after="200" w:line="360"/>
        <w:jc w:val="both"/>
      </w:pPr>
      <w:r>
        <w:rPr>
          <w:rFonts w:ascii="Times New Roman" w:cs="Times New Roman" w:eastAsia="Times New Roman" w:hAnsi="Times New Roman"/>
          <w:sz w:val="24"/>
          <w:szCs w:val="24"/>
        </w:rPr>
        <w:t xml:space="preserve">[FIGURE 3: Folio 57v with ring annotations. Ring 1 (outermost): running text. Ring 2: character inventory (4 repetitions of 12-character sequence). Ring 3: annotated examples with isolated characters. Ring 4 (innermost): building blocks including atomic suffix units. Source: Beinecke Rare Book and Manuscript Library, Yale University.]</w:t>
      </w:r>
    </w:p>
    <w:p>
      <w:pPr>
        <w:spacing w:after="200" w:line="360"/>
        <w:jc w:val="both"/>
      </w:pPr>
      <w:r>
        <w:rPr>
          <w:rFonts w:ascii="Times New Roman" w:cs="Times New Roman" w:eastAsia="Times New Roman" w:hAnsi="Times New Roman"/>
          <w:sz w:val="24"/>
          <w:szCs w:val="24"/>
        </w:rPr>
        <w:t xml:space="preserve">Ring 4 (innermost) contains 29 individual components, evenly spaced, visually unlike any word-bearing line in the manuscript, followed by 4 complete words and 3 final characters. Among the 29 components: 26 single characters and three multi-character units. The units are aiin (the manuscript's most frequent word-ending, appearing in 10.2% of all tokens) and ar (the fourth most frequent, 7.1%). They are listed at the same spacing as single characters because in this system they are atomic: pre-assembled blocks. The four words at the end demonstrate how the blocks combine.</w:t>
      </w:r>
    </w:p>
    <w:p>
      <w:pPr>
        <w:spacing w:after="200" w:line="360"/>
        <w:jc w:val="both"/>
      </w:pPr>
      <w:r>
        <w:rPr>
          <w:rFonts w:ascii="Times New Roman" w:cs="Times New Roman" w:eastAsia="Times New Roman" w:hAnsi="Times New Roman"/>
          <w:sz w:val="24"/>
          <w:szCs w:val="24"/>
        </w:rPr>
        <w:t xml:space="preserve">Ring 3 opens with 4 words, closes with 4 words and a terminal mark. Between them, a deliberate alternating pattern: clusters of 1–4 words separated by isolated single characters. Nine such characters appear across all three full-coverage transcriptions; in JGLI, all nine are drawn from Ring 2's inventory (9/9 match). In ZLZI and TTLI, eight of nine match, with the ninth read as 's' (a dressing character absent from Ring 2). The alternating structure is robust across transcriptions even where individual character readings differ. Words alongside the characters they are built from.</w:t>
      </w:r>
    </w:p>
    <w:p>
      <w:pPr>
        <w:spacing w:after="200" w:line="360"/>
        <w:jc w:val="both"/>
      </w:pPr>
      <w:r>
        <w:rPr>
          <w:rFonts w:ascii="Times New Roman" w:cs="Times New Roman" w:eastAsia="Times New Roman" w:hAnsi="Times New Roman"/>
          <w:sz w:val="24"/>
          <w:szCs w:val="24"/>
        </w:rPr>
        <w:t xml:space="preserve">Ring 2 contains purely evenly-spaced individual glyphs, no word groupings. Four repetitions of a 12-character sequence. At position 9, f appears in periods 1–2 and p in periods 3–4. This is the character inventory, and the variation demonstrates that f and p are interchangeable: they occupy the same structural position. The alternation is stable across all three independent transcriptions.</w:t>
      </w:r>
    </w:p>
    <w:p>
      <w:pPr>
        <w:spacing w:after="200" w:line="360"/>
        <w:jc w:val="both"/>
      </w:pPr>
      <w:r>
        <w:rPr>
          <w:rFonts w:ascii="Times New Roman" w:cs="Times New Roman" w:eastAsia="Times New Roman" w:hAnsi="Times New Roman"/>
          <w:sz w:val="24"/>
          <w:szCs w:val="24"/>
        </w:rPr>
        <w:t xml:space="preserve">Ring 1 (outermost) is almost entirely words. Normal manuscript running text. The finished product.</w:t>
      </w:r>
    </w:p>
    <w:p>
      <w:pPr>
        <w:pStyle w:val="Heading2"/>
        <w:spacing w:before="360" w:after="200" w:line="360"/>
      </w:pPr>
      <w:r>
        <w:rPr>
          <w:rFonts w:ascii="Times New Roman" w:cs="Times New Roman" w:eastAsia="Times New Roman" w:hAnsi="Times New Roman"/>
          <w:b/>
          <w:bCs/>
          <w:sz w:val="26"/>
          <w:szCs w:val="26"/>
        </w:rPr>
        <w:t xml:space="preserve">4.2 Independent Confirmation</w:t>
      </w:r>
    </w:p>
    <w:p>
      <w:pPr>
        <w:spacing w:after="200" w:line="360"/>
        <w:jc w:val="both"/>
      </w:pPr>
      <w:r>
        <w:rPr>
          <w:rFonts w:ascii="Times New Roman" w:cs="Times New Roman" w:eastAsia="Times New Roman" w:hAnsi="Times New Roman"/>
          <w:sz w:val="24"/>
          <w:szCs w:val="24"/>
        </w:rPr>
        <w:t xml:space="preserve">The PGCS grammar was established from corpus statistics without reference to f57v. The page provides independent physical confirmation: two paths, one computational and one palaeographic, converge on the same four-slot architecture.</w:t>
      </w:r>
    </w:p>
    <w:p>
      <w:pPr>
        <w:spacing w:after="200" w:line="360"/>
        <w:jc w:val="both"/>
      </w:pPr>
      <w:r>
        <w:rPr>
          <w:rFonts w:ascii="Times New Roman" w:cs="Times New Roman" w:eastAsia="Times New Roman" w:hAnsi="Times New Roman"/>
          <w:sz w:val="24"/>
          <w:szCs w:val="24"/>
        </w:rPr>
        <w:t xml:space="preserve">Ring 2 enumerates exactly the 13 characters that form the grammar's structural frame (the skeleton characters: o, l, d, r, v, x, k, m, f, p, t, y, c) and excludes exactly the 6 that fill cores and suffix bodies (the dressing characters: e, a, i, n, h, s). The f/p alternation at position 9 demonstrates gallows substitution at exactly the position the grammar predicts. The probability of this match arising by chance is less than 10⁻⁴³. The grammar is not a researcher's artefact. It is the scribe's system, documented on a page inside the manuscript. Gen-00 tests this claim directly: a generator reading only the f57v transcription, with zero access to the remaining 225 folios, scores 34/84 on the full metric suite. One page, with no corpus fitting, no parameter tuning, and no statistical profiling, already captures 40% of the manuscript's distributional signature. The metrics it passes are not random: word-length means, entropy, Zipf parameters, and character-diversity indices all fall within VMS tolerance, while positional bias metrics (which require corpus-scale data to calibrate) correctly fail. Folio 57v is not merely consistent with the production method. It is sufficient to initiate it.</w:t>
      </w:r>
    </w:p>
    <w:p>
      <w:pPr>
        <w:spacing w:after="200" w:line="360"/>
        <w:jc w:val="both"/>
      </w:pPr>
      <w:r>
        <w:rPr>
          <w:rFonts w:ascii="Times New Roman" w:cs="Times New Roman" w:eastAsia="Times New Roman" w:hAnsi="Times New Roman"/>
          <w:sz w:val="24"/>
          <w:szCs w:val="24"/>
        </w:rPr>
        <w:t xml:space="preserve">Both approaches require a single physical artefact and a method. Greshko (2025) demonstrated that a cipher table and dice can produce Voynich-like text from Latin; we demonstrate that a reference page and copy-mutate rules can produce Voynich-like text from nothing. Both produce VMS-like output. The difference is that Greshko's requires a source language, and ours does not.</w:t>
      </w:r>
    </w:p>
    <w:p>
      <w:pPr>
        <w:pStyle w:val="Heading2"/>
        <w:spacing w:before="360" w:after="200" w:line="360"/>
      </w:pPr>
      <w:r>
        <w:rPr>
          <w:rFonts w:ascii="Times New Roman" w:cs="Times New Roman" w:eastAsia="Times New Roman" w:hAnsi="Times New Roman"/>
          <w:b/>
          <w:bCs/>
          <w:sz w:val="26"/>
          <w:szCs w:val="26"/>
        </w:rPr>
        <w:t xml:space="preserve">4.3 The Unlock</w:t>
      </w:r>
    </w:p>
    <w:p>
      <w:pPr>
        <w:spacing w:after="200" w:line="360"/>
        <w:jc w:val="both"/>
      </w:pPr>
      <w:r>
        <w:rPr>
          <w:rFonts w:ascii="Times New Roman" w:cs="Times New Roman" w:eastAsia="Times New Roman" w:hAnsi="Times New Roman"/>
          <w:sz w:val="24"/>
          <w:szCs w:val="24"/>
        </w:rPr>
        <w:t xml:space="preserve">f57v answers the question the generator hierarchy could not: at what level does the scribe operate?</w:t>
      </w:r>
    </w:p>
    <w:p>
      <w:pPr>
        <w:spacing w:after="200" w:line="360"/>
        <w:jc w:val="both"/>
      </w:pPr>
      <w:r>
        <w:rPr>
          <w:rFonts w:ascii="Times New Roman" w:cs="Times New Roman" w:eastAsia="Times New Roman" w:hAnsi="Times New Roman"/>
          <w:sz w:val="24"/>
          <w:szCs w:val="24"/>
        </w:rPr>
        <w:t xml:space="preserve">Ring 4 lists aiin and ar, multi-character suffixes, as atomic components alongside single characters. They are spaced identically. In this system, a suffix is a unit, not a sequence of characters. Ring 2 shows f and p alternating at a single position within an otherwise fixed sequence. In this system, gallows substitution operates at the slot, not the character.</w:t>
      </w:r>
    </w:p>
    <w:p>
      <w:pPr>
        <w:spacing w:after="200" w:line="360"/>
        <w:jc w:val="both"/>
      </w:pPr>
      <w:r>
        <w:rPr>
          <w:rFonts w:ascii="Times New Roman" w:cs="Times New Roman" w:eastAsia="Times New Roman" w:hAnsi="Times New Roman"/>
          <w:sz w:val="24"/>
          <w:szCs w:val="24"/>
        </w:rPr>
        <w:t xml:space="preserve">Production operates at the slot level. Not character-level mutation, not whole-word copying. Slot-level copy-mutate. The scribe copies a recent word and modifies it slot by slot: change the suffix as a whole block, swap one gallows for another in the gallows position, do not add a gallows or core that was not there. The previous generator hierarchy could not reach this because no amount of corpus measurement tells you the scribe is treating suffixes as atomic units and gallows as interchangeable within a fixed position.</w:t>
      </w:r>
    </w:p>
    <w:p>
      <w:pPr>
        <w:pStyle w:val="Heading1"/>
        <w:spacing w:before="480" w:after="240" w:line="360"/>
      </w:pPr>
      <w:r>
        <w:rPr>
          <w:rFonts w:ascii="Times New Roman" w:cs="Times New Roman" w:eastAsia="Times New Roman" w:hAnsi="Times New Roman"/>
          <w:b/>
          <w:bCs/>
          <w:sz w:val="28"/>
          <w:szCs w:val="28"/>
        </w:rPr>
        <w:t xml:space="preserve">5. The Production Method</w:t>
      </w:r>
    </w:p>
    <w:p>
      <w:pPr>
        <w:pStyle w:val="Heading2"/>
        <w:spacing w:before="360" w:after="200" w:line="360"/>
      </w:pPr>
      <w:r>
        <w:rPr>
          <w:rFonts w:ascii="Times New Roman" w:cs="Times New Roman" w:eastAsia="Times New Roman" w:hAnsi="Times New Roman"/>
          <w:b/>
          <w:bCs/>
          <w:sz w:val="26"/>
          <w:szCs w:val="26"/>
        </w:rPr>
        <w:t xml:space="preserve">5.1 Five Rules</w:t>
      </w:r>
    </w:p>
    <w:p>
      <w:pPr>
        <w:spacing w:after="200" w:line="360"/>
        <w:jc w:val="both"/>
      </w:pPr>
      <w:r>
        <w:rPr>
          <w:rFonts w:ascii="Times New Roman" w:cs="Times New Roman" w:eastAsia="Times New Roman" w:hAnsi="Times New Roman"/>
          <w:sz w:val="24"/>
          <w:szCs w:val="24"/>
        </w:rPr>
        <w:t xml:space="preserve">The production method, validated by systematic ablation testing in which each rule was independently added and removed against the corrected 84-metric suite:</w:t>
      </w:r>
    </w:p>
    <w:p>
      <w:pPr>
        <w:spacing w:after="200" w:line="360"/>
        <w:ind w:left="360"/>
        <w:jc w:val="both"/>
      </w:pPr>
      <w:r>
        <w:rPr>
          <w:rFonts w:ascii="Times New Roman" w:cs="Times New Roman" w:eastAsia="Times New Roman" w:hAnsi="Times New Roman"/>
          <w:b/>
          <w:bCs/>
          <w:sz w:val="24"/>
          <w:szCs w:val="24"/>
        </w:rPr>
        <w:t xml:space="preserve">Rule 1:</w:t>
      </w:r>
      <w:r>
        <w:rPr>
          <w:rFonts w:ascii="Times New Roman" w:cs="Times New Roman" w:eastAsia="Times New Roman" w:hAnsi="Times New Roman"/>
          <w:sz w:val="24"/>
          <w:szCs w:val="24"/>
        </w:rPr>
        <w:t xml:space="preserve"> Copy from recent work. Pick one of the last few words you wrote. This is the base mechanism. Lookback depth is irrelevant; any value from 1 to 20 produces indistinguishable results (p = 0.13 across the range).</w:t>
      </w:r>
    </w:p>
    <w:p>
      <w:pPr>
        <w:spacing w:after="200" w:line="360"/>
        <w:ind w:left="360"/>
        <w:jc w:val="both"/>
      </w:pPr>
      <w:r>
        <w:rPr>
          <w:rFonts w:ascii="Times New Roman" w:cs="Times New Roman" w:eastAsia="Times New Roman" w:hAnsi="Times New Roman"/>
          <w:b/>
          <w:bCs/>
          <w:sz w:val="24"/>
          <w:szCs w:val="24"/>
        </w:rPr>
        <w:t xml:space="preserve">Rule 2:</w:t>
      </w:r>
      <w:r>
        <w:rPr>
          <w:rFonts w:ascii="Times New Roman" w:cs="Times New Roman" w:eastAsia="Times New Roman" w:hAnsi="Times New Roman"/>
          <w:sz w:val="24"/>
          <w:szCs w:val="24"/>
        </w:rPr>
        <w:t xml:space="preserve"> Change the ending. Swap to a different suffix most of the time, but not always. The exact rate is not critical; what matters is that suffixes sometimes carry over unchanged. A broad plateau from 50–87% change rate performs equally well (Δ = +3.6 metrics versus always-change; p = 0.007).</w:t>
      </w:r>
    </w:p>
    <w:p>
      <w:pPr>
        <w:spacing w:after="200" w:line="360"/>
        <w:ind w:left="360"/>
        <w:jc w:val="both"/>
      </w:pPr>
      <w:r>
        <w:rPr>
          <w:rFonts w:ascii="Times New Roman" w:cs="Times New Roman" w:eastAsia="Times New Roman" w:hAnsi="Times New Roman"/>
          <w:b/>
          <w:bCs/>
          <w:sz w:val="24"/>
          <w:szCs w:val="24"/>
        </w:rPr>
        <w:t xml:space="preserve">Rule 3:</w:t>
      </w:r>
      <w:r>
        <w:rPr>
          <w:rFonts w:ascii="Times New Roman" w:cs="Times New Roman" w:eastAsia="Times New Roman" w:hAnsi="Times New Roman"/>
          <w:sz w:val="24"/>
          <w:szCs w:val="24"/>
        </w:rPr>
        <w:t xml:space="preserve"> Change at least one other slot. If the word has no gallows and no core, change the prefix. Do not add structure that was not there (Δ = +4.9 metrics; p = 0.001).</w:t>
      </w:r>
    </w:p>
    <w:p>
      <w:pPr>
        <w:spacing w:after="200" w:line="360"/>
        <w:ind w:left="360"/>
        <w:jc w:val="both"/>
      </w:pPr>
      <w:r>
        <w:rPr>
          <w:rFonts w:ascii="Times New Roman" w:cs="Times New Roman" w:eastAsia="Times New Roman" w:hAnsi="Times New Roman"/>
          <w:b/>
          <w:bCs/>
          <w:sz w:val="24"/>
          <w:szCs w:val="24"/>
        </w:rPr>
        <w:t xml:space="preserve">Rule 4:</w:t>
      </w:r>
      <w:r>
        <w:rPr>
          <w:rFonts w:ascii="Times New Roman" w:cs="Times New Roman" w:eastAsia="Times New Roman" w:hAnsi="Times New Roman"/>
          <w:sz w:val="24"/>
          <w:szCs w:val="24"/>
        </w:rPr>
        <w:t xml:space="preserve"> Every fifth word or so, draw completely fresh instead of copying. The optimal fresh-draw rate is 15–20%, with an inverted-U response that penalises both too little and too much novelty (Δ = +9.4 metrics; p = 0.0003).</w:t>
      </w:r>
    </w:p>
    <w:p>
      <w:pPr>
        <w:spacing w:after="200" w:line="360"/>
        <w:ind w:left="360"/>
        <w:jc w:val="both"/>
      </w:pPr>
      <w:r>
        <w:rPr>
          <w:rFonts w:ascii="Times New Roman" w:cs="Times New Roman" w:eastAsia="Times New Roman" w:hAnsi="Times New Roman"/>
          <w:b/>
          <w:bCs/>
          <w:sz w:val="24"/>
          <w:szCs w:val="24"/>
        </w:rPr>
        <w:t xml:space="preserve">Rule 5:</w:t>
      </w:r>
      <w:r>
        <w:rPr>
          <w:rFonts w:ascii="Times New Roman" w:cs="Times New Roman" w:eastAsia="Times New Roman" w:hAnsi="Times New Roman"/>
          <w:sz w:val="24"/>
          <w:szCs w:val="24"/>
        </w:rPr>
        <w:t xml:space="preserve"> At each new line, draw fresh (Δ = +2.6 metrics; p = 0.034).</w:t>
      </w:r>
    </w:p>
    <w:p>
      <w:pPr>
        <w:spacing w:after="200" w:line="360"/>
        <w:jc w:val="both"/>
      </w:pPr>
      <w:r>
        <w:rPr>
          <w:rFonts w:ascii="Times New Roman" w:cs="Times New Roman" w:eastAsia="Times New Roman" w:hAnsi="Times New Roman"/>
          <w:sz w:val="24"/>
          <w:szCs w:val="24"/>
        </w:rPr>
        <w:t xml:space="preserve">Five rules survived ablation. Three others were tested and killed: gallows co-occurrence constraints actively hurt performance (Δ = −2.2, p = 0.038), section-specific default words hurt (Δ = −2.8, p = 0.029), and rounded line-start weights added nothing (Δ = +0.3, n.s.). A simpler mechanism that matches 77% of metrics is more plausible as a medieval scribe's working method than a complex rule system, and the ablation confirms the simplification is not a compromise; the extra rules were overfitting.</w:t>
      </w:r>
    </w:p>
    <w:p>
      <w:pPr>
        <w:pStyle w:val="Heading2"/>
        <w:spacing w:before="360" w:after="200" w:line="360"/>
      </w:pPr>
      <w:r>
        <w:rPr>
          <w:rFonts w:ascii="Times New Roman" w:cs="Times New Roman" w:eastAsia="Times New Roman" w:hAnsi="Times New Roman"/>
          <w:b/>
          <w:bCs/>
          <w:sz w:val="26"/>
          <w:szCs w:val="26"/>
        </w:rPr>
        <w:t xml:space="preserve">5.2 What f57v Adds to the Generator</w:t>
      </w:r>
    </w:p>
    <w:p>
      <w:pPr>
        <w:spacing w:after="200" w:line="360"/>
        <w:jc w:val="both"/>
      </w:pPr>
      <w:r>
        <w:rPr>
          <w:rFonts w:ascii="Times New Roman" w:cs="Times New Roman" w:eastAsia="Times New Roman" w:hAnsi="Times New Roman"/>
          <w:sz w:val="24"/>
          <w:szCs w:val="24"/>
        </w:rPr>
        <w:t xml:space="preserve">The four-stage progression:</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Stage</w:t>
            </w:r>
          </w:p>
        </w:tc>
        <w:tc>
          <w:tcPr>
            <w:tcW w:type="dxa" w:w="15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Score</w:t>
            </w:r>
          </w:p>
        </w:tc>
        <w:tc>
          <w:tcPr>
            <w:tcW w:type="dxa" w:w="436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What changed</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f57v alone (Gen-00, zero corpus)</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34/84 (40%)</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Reference page only, no corpus access</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Self-citation alone (Timm-style)</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45/84 (54%)</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No grammar</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 PGCS grammar and profiling</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57/84 (68%)</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Structural constraints (pre-f57v ceiling)</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 Slot-level production (from f57v)</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65/84 (77%)</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Copy-mutate at the slot level</w:t>
            </w:r>
          </w:p>
        </w:tc>
      </w:tr>
    </w:tbl>
    <w:p>
      <w:pPr>
        <w:spacing w:after="200"/>
      </w:pPr>
    </w:p>
    <w:p>
      <w:pPr>
        <w:spacing w:after="200" w:line="360"/>
        <w:jc w:val="both"/>
      </w:pPr>
      <w:r>
        <w:rPr>
          <w:rFonts w:ascii="Times New Roman" w:cs="Times New Roman" w:eastAsia="Times New Roman" w:hAnsi="Times New Roman"/>
          <w:sz w:val="24"/>
          <w:szCs w:val="24"/>
        </w:rPr>
        <w:t xml:space="preserve">Each stage significantly improves on its predecessor. Grammar and profiling add a mean of +11.3 metrics (p = 2.6 × 10⁻⁶, Cohen's d = 2.12). The slot-level production rules add a further +10.1 metrics (p = 2.6 × 10⁻⁹, d = 4.01), with 12 metrics gained and 4 lost for a net gain of +8 (Figure 4). Within the post-grammar family, the single largest increment comes from correcting the suffix change rate. Gen-02 (basic template with ductus) scores 46/84; Gen-03, which adds only the suffix correction derived from f57v (Lines 2 and 4 show 12–13% consecutive suffix repetition, fixing the change rate from 100% to 87%), scores 56/84. This one parameter, read directly from the reference page, accounts for +10 points — more than all subsequent refinements combined (Gen-03 to Gen-05 adds +9 across four additional rules). The reference page does not merely confirm the grammar; it specifies the single most consequential production parameter.</w:t>
      </w:r>
    </w:p>
    <w:p>
      <w:pPr>
        <w:spacing w:after="200" w:line="360"/>
        <w:jc w:val="both"/>
      </w:pPr>
      <w:r>
        <w:rPr>
          <w:rFonts w:ascii="Times New Roman" w:cs="Times New Roman" w:eastAsia="Times New Roman" w:hAnsi="Times New Roman"/>
          <w:sz w:val="24"/>
          <w:szCs w:val="24"/>
        </w:rPr>
        <w:t xml:space="preserve">[FIGURE 4: Ablation waterfall showing the four-stage progression from 34/84 (f57v alone) through 45/84 (self-citation) and 57/84 (+ PGCS grammar) to 65/84 (+ slot-level production rules), with individual metric gains and losses.]</w:t>
      </w:r>
    </w:p>
    <w:p>
      <w:pPr>
        <w:spacing w:after="200" w:line="360"/>
        <w:jc w:val="both"/>
      </w:pPr>
      <w:r>
        <w:rPr>
          <w:rFonts w:ascii="Times New Roman" w:cs="Times New Roman" w:eastAsia="Times New Roman" w:hAnsi="Times New Roman"/>
          <w:sz w:val="24"/>
          <w:szCs w:val="24"/>
        </w:rPr>
        <w:t xml:space="preserve">Among the 12 metrics unlocked by the production rules: word-length autocorrelation and Moran's I spatial clustering, the two properties that Gaskell and Bowern independently identified among their classifier's strongest discriminators. These had resisted every published generator. Copy-mutate at the slot level produces them because adjacent words share a template; the length-persistence signal is a direct consequence of the production method.</w:t>
      </w:r>
    </w:p>
    <w:p>
      <w:pPr>
        <w:spacing w:after="200" w:line="360"/>
        <w:jc w:val="both"/>
      </w:pPr>
      <w:r>
        <w:rPr>
          <w:rFonts w:ascii="Times New Roman" w:cs="Times New Roman" w:eastAsia="Times New Roman" w:hAnsi="Times New Roman"/>
          <w:sz w:val="24"/>
          <w:szCs w:val="24"/>
        </w:rPr>
        <w:t xml:space="preserve">What f57v specifies is the architecture: which characters exist, how they combine, which substitutions are legal, and how words are assembled from components. What it does not specify is the fluency that comes from writing thousands of words: how often to reuse versus invent, how far back to look, which character sequences feel natural, what concentration of common words emerges over extended production. This is a Pareto distribution of explanatory power. Six rules and one reference page account for 77% of the manuscript's statistical signature. The remaining 23% is the accumulated effect of practice, the difference between a scribe who has read the reference page and one who has filled two hundred folios.</w:t>
      </w:r>
    </w:p>
    <w:p>
      <w:pPr>
        <w:spacing w:after="200" w:line="360"/>
        <w:jc w:val="both"/>
      </w:pPr>
      <w:r>
        <w:rPr>
          <w:rFonts w:ascii="Times New Roman" w:cs="Times New Roman" w:eastAsia="Times New Roman" w:hAnsi="Times New Roman"/>
          <w:sz w:val="24"/>
          <w:szCs w:val="24"/>
        </w:rPr>
        <w:t xml:space="preserve">The division is not a gap in our analysis. It is a prediction about how production systems work. A type specimen sheet shows a printer the available letterforms; it does not teach typesetting. A reference page shows a scribe the available components; it does not teach fluency. The metrics that resist our generator are precisely the metrics that require extended practice to stabilise: frequency spectrum shape, local vocabulary diversity, word-length distributions. These are the statistical fingerprints of a specific person writing in a specific way over a sustained period, and no reference page could specify them in advance.</w:t>
      </w:r>
    </w:p>
    <w:p>
      <w:pPr>
        <w:pStyle w:val="Heading2"/>
        <w:spacing w:before="360" w:after="200" w:line="360"/>
      </w:pPr>
      <w:r>
        <w:rPr>
          <w:rFonts w:ascii="Times New Roman" w:cs="Times New Roman" w:eastAsia="Times New Roman" w:hAnsi="Times New Roman"/>
          <w:b/>
          <w:bCs/>
          <w:sz w:val="26"/>
          <w:szCs w:val="26"/>
        </w:rPr>
        <w:t xml:space="preserve">5.3 The Scribe's Working Materials</w:t>
      </w:r>
    </w:p>
    <w:p>
      <w:pPr>
        <w:spacing w:after="200" w:line="360"/>
        <w:jc w:val="both"/>
      </w:pPr>
      <w:r>
        <w:rPr>
          <w:rFonts w:ascii="Times New Roman" w:cs="Times New Roman" w:eastAsia="Times New Roman" w:hAnsi="Times New Roman"/>
          <w:sz w:val="24"/>
          <w:szCs w:val="24"/>
        </w:rPr>
        <w:t xml:space="preserve">This requires one reference page (f57v), one leaf of grammar (the valid prefix-gallows combinations, suffix families, and core bigrams, 281 entries total; see Appendix), and the current page as copy source. No cipher table, no source language, no dice. The slot grammar and copy-mutate process obviate the entire apparatus of encipherment. Copy and modify within constraints.</w:t>
      </w:r>
    </w:p>
    <w:p>
      <w:pPr>
        <w:pStyle w:val="Heading1"/>
        <w:spacing w:before="480" w:after="240" w:line="360"/>
      </w:pPr>
      <w:r>
        <w:rPr>
          <w:rFonts w:ascii="Times New Roman" w:cs="Times New Roman" w:eastAsia="Times New Roman" w:hAnsi="Times New Roman"/>
          <w:b/>
          <w:bCs/>
          <w:sz w:val="28"/>
          <w:szCs w:val="28"/>
        </w:rPr>
        <w:t xml:space="preserve">6. Evidence in the Manuscript</w:t>
      </w:r>
    </w:p>
    <w:p>
      <w:pPr>
        <w:pStyle w:val="Heading2"/>
        <w:spacing w:before="360" w:after="200" w:line="360"/>
      </w:pPr>
      <w:r>
        <w:rPr>
          <w:rFonts w:ascii="Times New Roman" w:cs="Times New Roman" w:eastAsia="Times New Roman" w:hAnsi="Times New Roman"/>
          <w:b/>
          <w:bCs/>
          <w:sz w:val="26"/>
          <w:szCs w:val="26"/>
        </w:rPr>
        <w:t xml:space="preserve">6.1 Worked Examples</w:t>
      </w:r>
    </w:p>
    <w:p>
      <w:pPr>
        <w:spacing w:after="200" w:line="360"/>
        <w:jc w:val="both"/>
      </w:pPr>
      <w:r>
        <w:rPr>
          <w:rFonts w:ascii="Times New Roman" w:cs="Times New Roman" w:eastAsia="Times New Roman" w:hAnsi="Times New Roman"/>
          <w:sz w:val="24"/>
          <w:szCs w:val="24"/>
        </w:rPr>
        <w:t xml:space="preserve">Four folios from four manuscript sections were traced line by line, decomposing each word into PGCS slots and identifying the most likely source word from the current or previous line (full tables in Supplement S6).</w:t>
      </w:r>
    </w:p>
    <w:p>
      <w:pPr>
        <w:spacing w:after="200" w:line="360"/>
        <w:jc w:val="both"/>
      </w:pPr>
      <w:r>
        <w:rPr>
          <w:rFonts w:ascii="Times New Roman" w:cs="Times New Roman" w:eastAsia="Times New Roman" w:hAnsi="Times New Roman"/>
          <w:sz w:val="24"/>
          <w:szCs w:val="24"/>
        </w:rPr>
        <w:t xml:space="preserve">f75r Line 30 (Balneological): 14 of 14 words match a nearby source at 2/4 slots or better. Three are exact copies. Six involve suffix changes. f103r Line 3 (Stars): 13 of 13 words match at 2/4+. One exact copy, seven suffix changes. f22r Line 5 (Herbal-A): 10 of 10 match at 2/4+. Two exact copies, six suffix changes. f100r Line 23 (Pharmaceutical): 9 of 12 match at 2/4+. Three exact copies; three appear to be fresh draws at 0–1/4 match, consistent with the approximately one-in-five fresh-draw rate (Rule 4).</w:t>
      </w:r>
    </w:p>
    <w:p>
      <w:pPr>
        <w:spacing w:after="200" w:line="360"/>
        <w:jc w:val="both"/>
      </w:pPr>
      <w:r>
        <w:rPr>
          <w:rFonts w:ascii="Times New Roman" w:cs="Times New Roman" w:eastAsia="Times New Roman" w:hAnsi="Times New Roman"/>
          <w:sz w:val="24"/>
          <w:szCs w:val="24"/>
        </w:rPr>
        <w:t xml:space="preserve">The worked examples demonstrate not just that copy-mutate operates in the manuscript but that it operates within the PGCS slot grammar. The scribe does not copy arbitrary character sequences; the scribe copies and modifies words at the slot level, preserving structural constraints.</w:t>
      </w:r>
    </w:p>
    <w:p>
      <w:pPr>
        <w:pStyle w:val="Heading2"/>
        <w:spacing w:before="360" w:after="200" w:line="360"/>
      </w:pPr>
      <w:r>
        <w:rPr>
          <w:rFonts w:ascii="Times New Roman" w:cs="Times New Roman" w:eastAsia="Times New Roman" w:hAnsi="Times New Roman"/>
          <w:b/>
          <w:bCs/>
          <w:sz w:val="26"/>
          <w:szCs w:val="26"/>
        </w:rPr>
        <w:t xml:space="preserve">6.2 Corpus-Wide Evidence</w:t>
      </w:r>
    </w:p>
    <w:p>
      <w:pPr>
        <w:spacing w:after="200" w:line="360"/>
        <w:jc w:val="both"/>
      </w:pPr>
      <w:r>
        <w:rPr>
          <w:rFonts w:ascii="Times New Roman" w:cs="Times New Roman" w:eastAsia="Times New Roman" w:hAnsi="Times New Roman"/>
          <w:sz w:val="24"/>
          <w:szCs w:val="24"/>
        </w:rPr>
        <w:t xml:space="preserve">The same analysis applied to every word in the manuscript (37,239 scoreable tokens across 226 folios): 83.8% of all words match a nearby source at 2 or more slots. The modal outcome (45.0%) is exactly 2/4, which is the copy-mutate model prediction: change the suffix plus one other slot. Only 1.9% of words have no match at all, consistent with the fresh-draw rate of roughly one word in five.</w:t>
      </w:r>
    </w:p>
    <w:p>
      <w:pPr>
        <w:spacing w:after="200" w:line="360"/>
        <w:jc w:val="both"/>
      </w:pPr>
      <w:r>
        <w:rPr>
          <w:rFonts w:ascii="Times New Roman" w:cs="Times New Roman" w:eastAsia="Times New Roman" w:hAnsi="Times New Roman"/>
          <w:sz w:val="24"/>
          <w:szCs w:val="24"/>
        </w:rPr>
        <w:t xml:space="preserve">Three independent null models confirm this rate cannot arise from the small PGCS alphabet alone. Null 1 (independent slot assembly from marginal frequencies): 77.5 ± 0.2%, gap +6.3 percentage points, Z = 26.8. Null 2 (shuffled slots within words): 77.6 ± 0.2%, gap +6.2pp, Z = 40.9. Null 3 (shuffled intact VMS words across positions): 80.2 ± 0.1%, gap +3.6pp, Z = 26.3. All three exceed chance by more than 25 standard deviations. Three layers of structure separate real VMS text from chance: vocabulary coherence, intra-word slot correlations, and sequential proximity.</w:t>
      </w:r>
    </w:p>
    <w:p>
      <w:pPr>
        <w:spacing w:after="200" w:line="360"/>
        <w:jc w:val="both"/>
      </w:pPr>
      <w:r>
        <w:rPr>
          <w:rFonts w:ascii="Times New Roman" w:cs="Times New Roman" w:eastAsia="Times New Roman" w:hAnsi="Times New Roman"/>
          <w:sz w:val="24"/>
          <w:szCs w:val="24"/>
        </w:rPr>
        <w:t xml:space="preserve">A cipher would not produce this distribution. Enciphered text's slot-match patterns would depend on the source language's morphology, not on spatial proximity on the physical page. The copy-mutate fingerprint is a property of the production method, visible in the manuscript text itself.</w:t>
      </w:r>
    </w:p>
    <w:p>
      <w:pPr>
        <w:pStyle w:val="Heading2"/>
        <w:spacing w:before="360" w:after="200" w:line="360"/>
      </w:pPr>
      <w:r>
        <w:rPr>
          <w:rFonts w:ascii="Times New Roman" w:cs="Times New Roman" w:eastAsia="Times New Roman" w:hAnsi="Times New Roman"/>
          <w:b/>
          <w:bCs/>
          <w:sz w:val="26"/>
          <w:szCs w:val="26"/>
        </w:rPr>
        <w:t xml:space="preserve">6.3 Section Universality</w:t>
      </w:r>
    </w:p>
    <w:p>
      <w:pPr>
        <w:spacing w:after="200" w:line="360"/>
        <w:jc w:val="both"/>
      </w:pPr>
      <w:r>
        <w:rPr>
          <w:rFonts w:ascii="Times New Roman" w:cs="Times New Roman" w:eastAsia="Times New Roman" w:hAnsi="Times New Roman"/>
          <w:sz w:val="24"/>
          <w:szCs w:val="24"/>
        </w:rPr>
        <w:t xml:space="preserve">The method works in every section. Two folios sampled from each of the nine codicological sections yield a range of 69.6–92.4%, with a mean of 80.6%. No section falls below the independent-assembly null (77.5%). The lowest sections (Pharmaceutical, Zodiac) have the most constrained vocabulary; the highest (Balneological, Stars, Rosettes) are the most textually dense. The production method is not an artefact of one section or one scribe's hand.</w:t>
      </w:r>
    </w:p>
    <w:p>
      <w:pPr>
        <w:pStyle w:val="Heading1"/>
        <w:spacing w:before="480" w:after="240" w:line="360"/>
      </w:pPr>
      <w:r>
        <w:rPr>
          <w:rFonts w:ascii="Times New Roman" w:cs="Times New Roman" w:eastAsia="Times New Roman" w:hAnsi="Times New Roman"/>
          <w:b/>
          <w:bCs/>
          <w:sz w:val="28"/>
          <w:szCs w:val="28"/>
        </w:rPr>
        <w:t xml:space="preserve">7. Three Doors</w:t>
      </w:r>
    </w:p>
    <w:p>
      <w:pPr>
        <w:pStyle w:val="Heading2"/>
        <w:spacing w:before="360" w:after="200" w:line="360"/>
      </w:pPr>
      <w:r>
        <w:rPr>
          <w:rFonts w:ascii="Times New Roman" w:cs="Times New Roman" w:eastAsia="Times New Roman" w:hAnsi="Times New Roman"/>
          <w:b/>
          <w:bCs/>
          <w:sz w:val="26"/>
          <w:szCs w:val="26"/>
        </w:rPr>
        <w:t xml:space="preserve">7.1 Door 1: The Statistical Fingerprint</w:t>
      </w:r>
    </w:p>
    <w:p>
      <w:pPr>
        <w:spacing w:after="200" w:line="360"/>
        <w:jc w:val="both"/>
      </w:pPr>
      <w:r>
        <w:rPr>
          <w:rFonts w:ascii="Times New Roman" w:cs="Times New Roman" w:eastAsia="Times New Roman" w:hAnsi="Times New Roman"/>
          <w:sz w:val="24"/>
          <w:szCs w:val="24"/>
        </w:rPr>
        <w:t xml:space="preserve">Generation and encryption are structurally distinct. A cipher transforms an existing message; even elaborate polyalphabetic and homophonic systems preserve statistical traces of their source language (word boundaries, mutual information between tokens, syntactic structure), which is what makes cryptanalysis possible. A generative process produces tokens directly; tokens are the primary objects, not transformed representations of prior linguistic units. Supplement S5 provides formal exclusion arguments for five mechanism classes; the main text summarises the key results.</w:t>
      </w:r>
    </w:p>
    <w:p>
      <w:pPr>
        <w:spacing w:after="200" w:line="360"/>
        <w:jc w:val="both"/>
      </w:pPr>
      <w:r>
        <w:rPr>
          <w:rFonts w:ascii="Times New Roman" w:cs="Times New Roman" w:eastAsia="Times New Roman" w:hAnsi="Times New Roman"/>
          <w:sz w:val="24"/>
          <w:szCs w:val="24"/>
        </w:rPr>
        <w:t xml:space="preserve">Three classes of evidence contradict specific predictions of the cipher hypothesis.</w:t>
      </w:r>
    </w:p>
    <w:p>
      <w:pPr>
        <w:spacing w:after="200" w:line="360"/>
        <w:jc w:val="both"/>
      </w:pPr>
      <w:r>
        <w:rPr>
          <w:rFonts w:ascii="Times New Roman" w:cs="Times New Roman" w:eastAsia="Times New Roman" w:hAnsi="Times New Roman"/>
          <w:b/>
          <w:bCs/>
          <w:sz w:val="24"/>
          <w:szCs w:val="24"/>
        </w:rPr>
        <w:t xml:space="preserve">Generation is sufficient.</w:t>
      </w:r>
      <w:r>
        <w:rPr>
          <w:rFonts w:ascii="Times New Roman" w:cs="Times New Roman" w:eastAsia="Times New Roman" w:hAnsi="Times New Roman"/>
          <w:sz w:val="24"/>
          <w:szCs w:val="24"/>
        </w:rPr>
        <w:t xml:space="preserve"> Self-citation produces VMS-like distributions without any source language (Timm and Schinner 2020, 2024; Timm 2026), and five scribes share the same positional grammar with different statistical profiles (§2.4; Fagin Davis 2020). A cipher predicts that some source language is necessary and that structural constraints reflect source-language morphology. Neither prediction holds: the PGCS constraints are formal and language-independent, and the multi-hand consistency is parsimoniously explained by a shared production protocol rather than five independent encipherments.</w:t>
      </w:r>
    </w:p>
    <w:p>
      <w:pPr>
        <w:spacing w:after="200" w:line="360"/>
        <w:jc w:val="both"/>
      </w:pPr>
      <w:r>
        <w:rPr>
          <w:rFonts w:ascii="Times New Roman" w:cs="Times New Roman" w:eastAsia="Times New Roman" w:hAnsi="Times New Roman"/>
          <w:b/>
          <w:bCs/>
          <w:sz w:val="24"/>
          <w:szCs w:val="24"/>
        </w:rPr>
        <w:t xml:space="preserve">Cipher predictions fail directionally.</w:t>
      </w:r>
      <w:r>
        <w:rPr>
          <w:rFonts w:ascii="Times New Roman" w:cs="Times New Roman" w:eastAsia="Times New Roman" w:hAnsi="Times New Roman"/>
          <w:sz w:val="24"/>
          <w:szCs w:val="24"/>
        </w:rPr>
        <w:t xml:space="preserve"> As generators become more structurally specified, their output converges toward gibberish on Gaskell and Bowern's classifier metrics, not toward natural language. A cipher predicts the opposite: more structure should produce more language-like output. Furthermore, shuffling word order within folios does not degrade section classification. The section signal is vocabulary-based, not syntactic. Under any cipher preserving word boundaries, destroying word order should destroy the syntactic patterns that encode meaning. It does not.</w:t>
      </w:r>
    </w:p>
    <w:p>
      <w:pPr>
        <w:spacing w:after="200" w:line="360"/>
        <w:jc w:val="both"/>
      </w:pPr>
      <w:r>
        <w:rPr>
          <w:rFonts w:ascii="Times New Roman" w:cs="Times New Roman" w:eastAsia="Times New Roman" w:hAnsi="Times New Roman"/>
          <w:b/>
          <w:bCs/>
          <w:sz w:val="24"/>
          <w:szCs w:val="24"/>
        </w:rPr>
        <w:t xml:space="preserve">The syntax is absent.</w:t>
      </w:r>
      <w:r>
        <w:rPr>
          <w:rFonts w:ascii="Times New Roman" w:cs="Times New Roman" w:eastAsia="Times New Roman" w:hAnsi="Times New Roman"/>
          <w:sz w:val="24"/>
          <w:szCs w:val="24"/>
        </w:rPr>
        <w:t xml:space="preserve"> Word-to-word mutual information is 0.45 bits, an order of magnitude below natural language (3–5 bits), and 98% of this derives from vocabulary overlap rather than syntactic structure. Homophonic substitution changes tokens, not their sequence: recipe formulae, prepositional chains, and verb-argument structure, present in every known pharmaceutical manuscript of the period, should survive encipherment. They are absent. The VMS preserves sub-word structure (PGCS) without preserving word-order structure, as self-citation from visual proximity predicts.</w:t>
      </w:r>
    </w:p>
    <w:p>
      <w:pPr>
        <w:spacing w:after="200" w:line="360"/>
        <w:jc w:val="both"/>
      </w:pPr>
      <w:r>
        <w:rPr>
          <w:rFonts w:ascii="Times New Roman" w:cs="Times New Roman" w:eastAsia="Times New Roman" w:hAnsi="Times New Roman"/>
          <w:sz w:val="24"/>
          <w:szCs w:val="24"/>
        </w:rPr>
        <w:t xml:space="preserve">Folio 57v strengthens this argument with physical evidence independent of the statistical analysis: it is a production reference inside the manuscript (how to build words from parts), not a cipher key mapping between representations.</w:t>
      </w:r>
    </w:p>
    <w:p>
      <w:pPr>
        <w:pStyle w:val="Heading2"/>
        <w:spacing w:before="360" w:after="200" w:line="360"/>
      </w:pPr>
      <w:r>
        <w:rPr>
          <w:rFonts w:ascii="Times New Roman" w:cs="Times New Roman" w:eastAsia="Times New Roman" w:hAnsi="Times New Roman"/>
          <w:b/>
          <w:bCs/>
          <w:sz w:val="26"/>
          <w:szCs w:val="26"/>
        </w:rPr>
        <w:t xml:space="preserve">7.2 Door 2: The Mirror Property</w:t>
      </w:r>
    </w:p>
    <w:p>
      <w:pPr>
        <w:spacing w:after="200" w:line="360"/>
        <w:jc w:val="both"/>
      </w:pPr>
      <w:r>
        <w:rPr>
          <w:rFonts w:ascii="Times New Roman" w:cs="Times New Roman" w:eastAsia="Times New Roman" w:hAnsi="Times New Roman"/>
          <w:sz w:val="24"/>
          <w:szCs w:val="24"/>
        </w:rPr>
        <w:t xml:space="preserve">The PGCS grammar is compatible with every natural language tested against it. Researchers have found plausible statistical matches to Latin (Greshko 2025), Turkish (Keskıntoğlu, Türkmen, and Ahat 2019), Chinese (Stolfi 2005), Nahuatl (Tucker and Talbert 2014), Hebrew, and others. Each match is genuine (the grammar does accommodate it), but none is verifiable, because the grammar accommodates them all.</w:t>
      </w:r>
    </w:p>
    <w:p>
      <w:pPr>
        <w:spacing w:after="200" w:line="360"/>
        <w:jc w:val="both"/>
      </w:pPr>
      <w:r>
        <w:rPr>
          <w:rFonts w:ascii="Times New Roman" w:cs="Times New Roman" w:eastAsia="Times New Roman" w:hAnsi="Times New Roman"/>
          <w:sz w:val="24"/>
          <w:szCs w:val="24"/>
        </w:rPr>
        <w:t xml:space="preserve">The constraints are formal, not semantic: they restrict the shape of words without specifying what the words mean. A researcher who proposes Latin will find Latin-compatible patterns; a researcher who proposes Turkish will find Turkish-compatible patterns. Neither can validate their mapping because the grammar cannot discriminate between candidates.</w:t>
      </w:r>
    </w:p>
    <w:p>
      <w:pPr>
        <w:spacing w:after="200" w:line="360"/>
        <w:jc w:val="both"/>
      </w:pPr>
      <w:r>
        <w:rPr>
          <w:rFonts w:ascii="Times New Roman" w:cs="Times New Roman" w:eastAsia="Times New Roman" w:hAnsi="Times New Roman"/>
          <w:sz w:val="24"/>
          <w:szCs w:val="24"/>
        </w:rPr>
        <w:t xml:space="preserve">The circularity is structural, not a failure of effort, and it holds whether or not you accept the generative interpretation: it requires only accepting PGCS itself, which has zero violations across 3,930 unseen word types. The same circularity applies to external-reference hypotheses: the proposal that tokens are pointers into a lost codebook. A token-to-index-to-meaning mapping is still a substitution system. Without the codebook, the mapping is unconstrained. Without independent verification of any single mapping, the codebook is unrecoverable. Five centuries and myriad proposed decipherments have not found meaning in this text. The mirror property explains why.</w:t>
      </w:r>
    </w:p>
    <w:p>
      <w:pPr>
        <w:spacing w:after="200" w:line="360"/>
        <w:jc w:val="both"/>
      </w:pPr>
      <w:r>
        <w:rPr>
          <w:rFonts w:ascii="Times New Roman" w:cs="Times New Roman" w:eastAsia="Times New Roman" w:hAnsi="Times New Roman"/>
          <w:sz w:val="24"/>
          <w:szCs w:val="24"/>
        </w:rPr>
        <w:t xml:space="preserve">Four empirical results reinforce the mirror. A permutation test shuffling illustrations across folios 500 times found no word-image correlation above chance. The 3,285 hapax legomena with filled cores, structurally complex unique tokens that would carry specific content under any semantic interpretation, do not cluster by section or illustration proximity. The 71.1% unexplained entropy (the content layer, where any hidden language would live) carries no recoverable signal pointing to any specific source language. The bimodal vocabulary described in §2.3 has the structural shape of a function-word/content-word distinction but not the semantic behaviour: the "content" hapax show no topical clustering.</w:t>
      </w:r>
    </w:p>
    <w:p>
      <w:pPr>
        <w:pStyle w:val="Heading2"/>
        <w:spacing w:before="360" w:after="200" w:line="360"/>
      </w:pPr>
      <w:r>
        <w:rPr>
          <w:rFonts w:ascii="Times New Roman" w:cs="Times New Roman" w:eastAsia="Times New Roman" w:hAnsi="Times New Roman"/>
          <w:b/>
          <w:bCs/>
          <w:sz w:val="26"/>
          <w:szCs w:val="26"/>
        </w:rPr>
        <w:t xml:space="preserve">7.3 Door 3: The Density Problem</w:t>
      </w:r>
    </w:p>
    <w:p>
      <w:pPr>
        <w:spacing w:after="200" w:line="360"/>
        <w:jc w:val="both"/>
      </w:pPr>
      <w:r>
        <w:rPr>
          <w:rFonts w:ascii="Times New Roman" w:cs="Times New Roman" w:eastAsia="Times New Roman" w:hAnsi="Times New Roman"/>
          <w:sz w:val="24"/>
          <w:szCs w:val="24"/>
        </w:rPr>
        <w:t xml:space="preserve">Reject doors 1 and 2, and the cipher alternative makes specific quantitative predictions about information density.</w:t>
      </w:r>
    </w:p>
    <w:p>
      <w:pPr>
        <w:spacing w:after="200" w:line="360"/>
        <w:jc w:val="both"/>
      </w:pPr>
      <w:r>
        <w:rPr>
          <w:rFonts w:ascii="Times New Roman" w:cs="Times New Roman" w:eastAsia="Times New Roman" w:hAnsi="Times New Roman"/>
          <w:sz w:val="24"/>
          <w:szCs w:val="24"/>
        </w:rPr>
        <w:t xml:space="preserve">If the PGCS slots encode independent semantic content (prefix for plant category, gallows for condition, core for preparation, suffix for application), then each VMS token carries four information units. A representative page of Brescia, Biblioteca Civica Queriniana MS B.V.24, a fifteenth-century Lombard pharmaceutical compendium containing fertility remedies, herbal entries, and therapeutic recipes in mixed Latin and Italian, carries approximately 14 independent information units per 100 tokens, with the remainder consumed by syntactic scaffolding (et, in, de, per, cum). Under the cipher interpretation, the VMS would need to be approximately 29 times denser than a real pharmaceutical manuscript of the same period and region.</w:t>
      </w:r>
    </w:p>
    <w:p>
      <w:pPr>
        <w:spacing w:after="200" w:line="360"/>
        <w:jc w:val="both"/>
      </w:pPr>
      <w:r>
        <w:rPr>
          <w:rFonts w:ascii="Times New Roman" w:cs="Times New Roman" w:eastAsia="Times New Roman" w:hAnsi="Times New Roman"/>
          <w:sz w:val="24"/>
          <w:szCs w:val="24"/>
        </w:rPr>
        <w:t xml:space="preserve">The free combinatorial product of the four slots is approximately 4.75 million possible word types. The manuscript uses approximately 5,000, a 127-fold compression. If the slots independently encoded different semantic dimensions, they would combine more freely. They do not. The compression demonstrates massive inter-slot dependency: the slots function as a grammar, not as four parallel encoding channels.</w:t>
      </w:r>
    </w:p>
    <w:p>
      <w:pPr>
        <w:spacing w:after="200" w:line="360"/>
        <w:jc w:val="both"/>
      </w:pPr>
      <w:r>
        <w:rPr>
          <w:rFonts w:ascii="Times New Roman" w:cs="Times New Roman" w:eastAsia="Times New Roman" w:hAnsi="Times New Roman"/>
          <w:sz w:val="24"/>
          <w:szCs w:val="24"/>
        </w:rPr>
        <w:t xml:space="preserve">And 61% of high-frequency running text has empty cores. Under the semantic interpretation, the core slot is where specific content lives (the preparation method, the active ingredient). It is absent in the majority of running text. The high-frequency stratum is scaffolding without the slot assigned to the most variable content.</w:t>
      </w:r>
    </w:p>
    <w:p>
      <w:pPr>
        <w:spacing w:after="200" w:line="360"/>
        <w:jc w:val="both"/>
      </w:pPr>
      <w:r>
        <w:rPr>
          <w:rFonts w:ascii="Times New Roman" w:cs="Times New Roman" w:eastAsia="Times New Roman" w:hAnsi="Times New Roman"/>
          <w:sz w:val="24"/>
          <w:szCs w:val="24"/>
        </w:rPr>
        <w:t xml:space="preserve">The cipher interpretation therefore requires: a compression system without known medieval parallel, used in a working notebook rather than a prestige production, shared across five scribal hands without error, whose output a statistical classifier identifies as gibberish, where compressed content shows no correlation with the manuscript's illustrations, and where unique tokens exhibit no semantic clustering by topic or location. These requirements are individually defensible but collectively without precedent.</w:t>
      </w:r>
    </w:p>
    <w:p>
      <w:pPr>
        <w:pStyle w:val="Heading1"/>
        <w:spacing w:before="480" w:after="240" w:line="360"/>
      </w:pPr>
      <w:r>
        <w:rPr>
          <w:rFonts w:ascii="Times New Roman" w:cs="Times New Roman" w:eastAsia="Times New Roman" w:hAnsi="Times New Roman"/>
          <w:b/>
          <w:bCs/>
          <w:sz w:val="28"/>
          <w:szCs w:val="28"/>
        </w:rPr>
        <w:t xml:space="preserve">8. External Validation</w:t>
      </w:r>
    </w:p>
    <w:p>
      <w:pPr>
        <w:pStyle w:val="Heading2"/>
        <w:spacing w:before="360" w:after="200" w:line="360"/>
      </w:pPr>
      <w:r>
        <w:rPr>
          <w:rFonts w:ascii="Times New Roman" w:cs="Times New Roman" w:eastAsia="Times New Roman" w:hAnsi="Times New Roman"/>
          <w:b/>
          <w:bCs/>
          <w:sz w:val="26"/>
          <w:szCs w:val="26"/>
        </w:rPr>
        <w:t xml:space="preserve">8.1 Three-Way Comparison</w:t>
      </w:r>
    </w:p>
    <w:p>
      <w:pPr>
        <w:spacing w:after="200" w:line="360"/>
        <w:jc w:val="both"/>
      </w:pPr>
      <w:r>
        <w:rPr>
          <w:rFonts w:ascii="Times New Roman" w:cs="Times New Roman" w:eastAsia="Times New Roman" w:hAnsi="Times New Roman"/>
          <w:sz w:val="24"/>
          <w:szCs w:val="24"/>
        </w:rPr>
        <w:t xml:space="preserve">The Gaskell and Bowern (2022) comparison dataset provides independent evidence. Three production models evaluated against their 42-metric benchmark:</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System</w:t>
            </w:r>
          </w:p>
        </w:tc>
        <w:tc>
          <w:tcPr>
            <w:tcW w:type="dxa" w:w="20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18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Pass rate</w:t>
            </w:r>
          </w:p>
        </w:tc>
        <w:tc>
          <w:tcPr>
            <w:tcW w:type="dxa" w:w="276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wordlen_autocorr</w:t>
            </w:r>
          </w:p>
        </w:tc>
      </w:tr>
      <w:tr>
        <w:tc>
          <w:tcPr>
            <w:tcW w:type="dxa" w:w="2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Timm and Schinner</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bare copy-mutate</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20/42 (48%)</w:t>
            </w:r>
          </w:p>
        </w:tc>
        <w:tc>
          <w:tcPr>
            <w:tcW w:type="dxa" w:w="27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FAIL (z = 1.40)</w:t>
            </w:r>
          </w:p>
        </w:tc>
      </w:tr>
      <w:tr>
        <w:tc>
          <w:tcPr>
            <w:tcW w:type="dxa" w:w="2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Naibbe (Greshko 2025)</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cipher</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26/42 (62%)</w:t>
            </w:r>
          </w:p>
        </w:tc>
        <w:tc>
          <w:tcPr>
            <w:tcW w:type="dxa" w:w="27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FAIL (z = 1.58)</w:t>
            </w:r>
          </w:p>
        </w:tc>
      </w:tr>
      <w:tr>
        <w:tc>
          <w:tcPr>
            <w:tcW w:type="dxa" w:w="2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Gen-05 (this paper)</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PGCS copy-mutate</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65/84 (77%)</w:t>
            </w:r>
          </w:p>
        </w:tc>
        <w:tc>
          <w:tcPr>
            <w:tcW w:type="dxa" w:w="27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bl>
    <w:p>
      <w:pPr>
        <w:spacing w:after="200"/>
      </w:pPr>
    </w:p>
    <w:p>
      <w:pPr>
        <w:spacing w:after="200" w:line="360"/>
        <w:jc w:val="both"/>
      </w:pPr>
      <w:r>
        <w:rPr>
          <w:rFonts w:ascii="Times New Roman" w:cs="Times New Roman" w:eastAsia="Times New Roman" w:hAnsi="Times New Roman"/>
          <w:sz w:val="24"/>
          <w:szCs w:val="24"/>
        </w:rPr>
        <w:t xml:space="preserve">Bare copy-mutate without grammar scores worse than the best cipher (48% versus 62%). The grammar is what constrains copy-mutate to produce VMS-like output. Both Timm and Schinner's generators and Greshko's cipher fail word-length autocorrelation, the copy-mutate signature that only slot-level production preserves.</w:t>
      </w:r>
    </w:p>
    <w:p>
      <w:pPr>
        <w:pStyle w:val="Heading2"/>
        <w:spacing w:before="360" w:after="200" w:line="360"/>
      </w:pPr>
      <w:r>
        <w:rPr>
          <w:rFonts w:ascii="Times New Roman" w:cs="Times New Roman" w:eastAsia="Times New Roman" w:hAnsi="Times New Roman"/>
          <w:b/>
          <w:bCs/>
          <w:sz w:val="26"/>
          <w:szCs w:val="26"/>
        </w:rPr>
        <w:t xml:space="preserve">8.2 Engaging Timm</w:t>
      </w:r>
    </w:p>
    <w:p>
      <w:pPr>
        <w:spacing w:after="200" w:line="360"/>
        <w:jc w:val="both"/>
      </w:pPr>
      <w:r>
        <w:rPr>
          <w:rFonts w:ascii="Times New Roman" w:cs="Times New Roman" w:eastAsia="Times New Roman" w:hAnsi="Times New Roman"/>
          <w:sz w:val="24"/>
          <w:szCs w:val="24"/>
        </w:rPr>
        <w:t xml:space="preserve">Timm (2026) argues that VMS text is inherently dynamic, produced through iterative self-citation, and that static analytical frameworks fail because they cannot account for a text that was built by copying and modifying itself. Much of this framing aligns with our findings. The text is dynamic; section profiles and vocabulary drift across quires confirm it. Self-citation is real; our baseline generator implements it and reproduces approximately 45 of 84 metrics. Where we part company is on sufficiency. A formal metric-by-metric test of pure self-citation is documented in Supplement S5 (§S5.6).</w:t>
      </w:r>
    </w:p>
    <w:p>
      <w:pPr>
        <w:spacing w:after="200" w:line="360"/>
        <w:jc w:val="both"/>
      </w:pPr>
      <w:r>
        <w:rPr>
          <w:rFonts w:ascii="Times New Roman" w:cs="Times New Roman" w:eastAsia="Times New Roman" w:hAnsi="Times New Roman"/>
          <w:sz w:val="24"/>
          <w:szCs w:val="24"/>
        </w:rPr>
        <w:t xml:space="preserve">The jump from 45 to 57 metrics when grammar and profiling are added is categorical. Without these, no amount of tuning reaches the grammar-enabled ceiling. Timm (2026) acknowledges that his algorithm does not reproduce certain statistical properties. Our 84-metric suite quantifies exactly which those are. Timm's mechanism and our grammar are complementary: the mechanism explains the process, the grammar explains why the process does not degrade. Together, they yield the production model: constrained self-citation within shared grammar, performed by multiple scribes.</w:t>
      </w:r>
    </w:p>
    <w:p>
      <w:pPr>
        <w:pStyle w:val="Heading2"/>
        <w:spacing w:before="360" w:after="200" w:line="360"/>
      </w:pPr>
      <w:r>
        <w:rPr>
          <w:rFonts w:ascii="Times New Roman" w:cs="Times New Roman" w:eastAsia="Times New Roman" w:hAnsi="Times New Roman"/>
          <w:b/>
          <w:bCs/>
          <w:sz w:val="26"/>
          <w:szCs w:val="26"/>
        </w:rPr>
        <w:t xml:space="preserve">8.3 Engaging Greshko</w:t>
      </w:r>
    </w:p>
    <w:p>
      <w:pPr>
        <w:spacing w:after="200" w:line="360"/>
        <w:jc w:val="both"/>
      </w:pPr>
      <w:r>
        <w:rPr>
          <w:rFonts w:ascii="Times New Roman" w:cs="Times New Roman" w:eastAsia="Times New Roman" w:hAnsi="Times New Roman"/>
          <w:sz w:val="24"/>
          <w:szCs w:val="24"/>
        </w:rPr>
        <w:t xml:space="preserve">Greshko's Naibbe cipher (2025) is the strongest recent case for the cipher hypothesis: a verbose homophonic substitution system, executable by hand with fifteenth-century materials, that encrypts Latin and Italian into VMS-like ciphertext. The cipher reproduces approximately 30% of unique Voynich B word types and 83% of total tokens, and it operates on an expanded version of the slot grammar observed in the manuscript.</w:t>
      </w:r>
    </w:p>
    <w:p>
      <w:pPr>
        <w:spacing w:after="200" w:line="360"/>
        <w:jc w:val="both"/>
      </w:pPr>
      <w:r>
        <w:rPr>
          <w:rFonts w:ascii="Times New Roman" w:cs="Times New Roman" w:eastAsia="Times New Roman" w:hAnsi="Times New Roman"/>
          <w:sz w:val="24"/>
          <w:szCs w:val="24"/>
        </w:rPr>
        <w:t xml:space="preserve">Greshko's results and ours agree on the central structural point: the slot grammar is the backbone of VMS text. Where they diverge is in what the grammar does. Greshko treats it as an encryption structure that maps plaintext to ciphertext. We treat it as a production grammar that generates tokens directly. The empirical evidence favours the production interpretation. Gen-05 matches 77% of the 84-metric suite; the Naibbe cipher, evaluated against the Gaskell and Bowern 42-metric subset, matches 62%. The Naibbe cipher requires a source language (Latin or Italian plaintext) while the production model requires none, and §7.2 shows that no source language can be validated. Both the Naibbe cipher and bare copy-mutate fail word-length autocorrelation, the metric that only slot-level production preserves (Table 4). Greshko demonstrated that a cipher mechanism is feasible; the 84-metric suite demonstrates that the production mechanism is a closer match to the manuscript itself.</w:t>
      </w:r>
    </w:p>
    <w:p>
      <w:pPr>
        <w:pStyle w:val="Heading1"/>
        <w:spacing w:before="480" w:after="240" w:line="360"/>
      </w:pPr>
      <w:r>
        <w:rPr>
          <w:rFonts w:ascii="Times New Roman" w:cs="Times New Roman" w:eastAsia="Times New Roman" w:hAnsi="Times New Roman"/>
          <w:b/>
          <w:bCs/>
          <w:sz w:val="28"/>
          <w:szCs w:val="28"/>
        </w:rPr>
        <w:t xml:space="preserve">9. Discussion and Conclusion</w:t>
      </w:r>
    </w:p>
    <w:p>
      <w:pPr>
        <w:pStyle w:val="Heading2"/>
        <w:spacing w:before="360" w:after="200" w:line="360"/>
      </w:pPr>
      <w:r>
        <w:rPr>
          <w:rFonts w:ascii="Times New Roman" w:cs="Times New Roman" w:eastAsia="Times New Roman" w:hAnsi="Times New Roman"/>
          <w:b/>
          <w:bCs/>
          <w:sz w:val="26"/>
          <w:szCs w:val="26"/>
        </w:rPr>
        <w:t xml:space="preserve">9.1 What We Have Shown</w:t>
      </w:r>
    </w:p>
    <w:p>
      <w:pPr>
        <w:spacing w:after="200" w:line="360"/>
        <w:jc w:val="both"/>
      </w:pPr>
      <w:r>
        <w:rPr>
          <w:rFonts w:ascii="Times New Roman" w:cs="Times New Roman" w:eastAsia="Times New Roman" w:hAnsi="Times New Roman"/>
          <w:sz w:val="24"/>
          <w:szCs w:val="24"/>
        </w:rPr>
        <w:t xml:space="preserve">Five independent lines of evidence converge. Self-citation as a production mechanism (Timm). Gibberish classification (Gaskell and Bowern). A slot grammar with zero held-out violations (PGCS). The manuscript's own reference page (f57v). And external comparison confirming the grammar's necessity (Timm and Schinner at 48%, Greshko at 62%, Gen-05 at 77%). None was derived from any other. The convergence was not designed.</w:t>
      </w:r>
    </w:p>
    <w:p>
      <w:pPr>
        <w:spacing w:after="200" w:line="360"/>
        <w:jc w:val="both"/>
      </w:pPr>
      <w:r>
        <w:rPr>
          <w:rFonts w:ascii="Times New Roman" w:cs="Times New Roman" w:eastAsia="Times New Roman" w:hAnsi="Times New Roman"/>
          <w:sz w:val="24"/>
          <w:szCs w:val="24"/>
        </w:rPr>
        <w:t xml:space="preserve">Until someone can demonstrate a production method achieving comparable or better statistical matching (68 or more of 84 metrics while simultaneously producing the bimodal vocabulary structure described in §2.3), the parsimonious interpretation is that the text was produced by constrained self-citation within the grammar documented on f57v.</w:t>
      </w:r>
    </w:p>
    <w:p>
      <w:pPr>
        <w:pStyle w:val="Heading2"/>
        <w:spacing w:before="360" w:after="200" w:line="360"/>
      </w:pPr>
      <w:r>
        <w:rPr>
          <w:rFonts w:ascii="Times New Roman" w:cs="Times New Roman" w:eastAsia="Times New Roman" w:hAnsi="Times New Roman"/>
          <w:b/>
          <w:bCs/>
          <w:sz w:val="26"/>
          <w:szCs w:val="26"/>
        </w:rPr>
        <w:t xml:space="preserve">9.2 What Remains Open</w:t>
      </w:r>
    </w:p>
    <w:p>
      <w:pPr>
        <w:spacing w:after="200" w:line="360"/>
        <w:jc w:val="both"/>
      </w:pPr>
      <w:r>
        <w:rPr>
          <w:rFonts w:ascii="Times New Roman" w:cs="Times New Roman" w:eastAsia="Times New Roman" w:hAnsi="Times New Roman"/>
          <w:sz w:val="24"/>
          <w:szCs w:val="24"/>
        </w:rPr>
        <w:t xml:space="preserve">The bimodal vocabulary is the sharpest open problem. The two-class structure (one-off words with systematically different morphological structure from repeated words) is not predicted by self-citation and is not reproduced by any tested generator. Whatever process generated the manuscript's text used one strategy for producing high-frequency template words and a different strategy for producing the long tail of single-use types. Whether this reflects semantic differentiation, procedural differentiation, or both cannot be determined from the statistics.</w:t>
      </w:r>
    </w:p>
    <w:p>
      <w:pPr>
        <w:spacing w:after="200" w:line="360"/>
        <w:jc w:val="both"/>
      </w:pPr>
      <w:r>
        <w:rPr>
          <w:rFonts w:ascii="Times New Roman" w:cs="Times New Roman" w:eastAsia="Times New Roman" w:hAnsi="Times New Roman"/>
          <w:sz w:val="24"/>
          <w:szCs w:val="24"/>
        </w:rPr>
        <w:t xml:space="preserve">Nineteen metrics remain unmatched. Four are universal: no generator from any family passes them: character line-position bias, word-frequency autocorrelation, and two word-length distribution metrics rooted in the template pool having 54% empty cores versus the manuscript's 52.7%. Notably, replacing the generator's template sampling with exact corpus-derived slot distributions makes performance worse, not better: tuning individual slots independently breaks the system because word length is an emergent property of which slots co-occur, not of individual slot frequencies. Gen-04T confirms this directly: an ablation variant identical to Gen-04 in every structural rule but with corpus-tuned vocabulary scores 58/84 versus Gen-04's 60/84. The two points it loses are concentrated in hapax ratios and type-token diversity — exactly the metrics that measure vocabulary balance. Fitting the vocabulary to corpus frequencies destroys the hapax diversity that structural rules alone produce. The grammar specifies form; corpus-tuning overfits content. The remaining gap is not a matter of missing rules. It is the kind of regularity that emerges from a production process running long enough to reach its own equilibrium. The nineteen failures sort into a natural gradient. About five sit just outside tolerance and could be resolved by principled additions such as trigram ductus filtering — knowing which three-character sequences look right, the kind of constraint a practised scribe internalises after a few hundred words. Another eight involve section-specific vocabulary concentration and the balance between novelty and repetition, the difference between a scribe on day one and a scribe on day thirty. The final six are emergent properties of all parameters interacting simultaneously: frequency spectrum shape, word-unique distributions, local diversity rates. No single rule addresses them because they are not produced by any single rule. They are the statistical fingerprint of a specific person writing in a specific way over two hundred pages, and they cannot be specified in advance any more than a printer's house style can be specified on a type specimen sheet. The 23% gap tells us that the historical production process involved dynamics we have not fully replicated. It does not tell us the text means anything.</w:t>
      </w:r>
    </w:p>
    <w:p>
      <w:pPr>
        <w:spacing w:after="200" w:line="360"/>
        <w:jc w:val="both"/>
      </w:pPr>
      <w:r>
        <w:rPr>
          <w:rFonts w:ascii="Times New Roman" w:cs="Times New Roman" w:eastAsia="Times New Roman" w:hAnsi="Times New Roman"/>
          <w:sz w:val="24"/>
          <w:szCs w:val="24"/>
        </w:rPr>
        <w:t xml:space="preserve">We do not know all the rules. The five that survived ablation are the ones we could test; others may exist. And the remaining question is historical rather than cryptographic: why did five scribes collaborate to produce a carefully illustrated manuscript of structured text with no recoverable content? The radiocarbon date of 1404–1438 and the codicological evidence for Northern Italian production constrain the answer to a specific window and region. Whether the manuscript is a workshop exercise, a commissioned object whose value derived from apparent complexity, or something else, that question belongs to book historians, not cryptographers.</w:t>
      </w:r>
    </w:p>
    <w:p>
      <w:pPr>
        <w:pStyle w:val="Heading2"/>
        <w:spacing w:before="360" w:after="200" w:line="360"/>
      </w:pPr>
      <w:r>
        <w:rPr>
          <w:rFonts w:ascii="Times New Roman" w:cs="Times New Roman" w:eastAsia="Times New Roman" w:hAnsi="Times New Roman"/>
          <w:b/>
          <w:bCs/>
          <w:sz w:val="26"/>
          <w:szCs w:val="26"/>
        </w:rPr>
        <w:t xml:space="preserve">9.3 Limitations</w:t>
      </w:r>
    </w:p>
    <w:p>
      <w:pPr>
        <w:spacing w:after="200" w:line="360"/>
        <w:jc w:val="both"/>
      </w:pPr>
      <w:r>
        <w:rPr>
          <w:rFonts w:ascii="Times New Roman" w:cs="Times New Roman" w:eastAsia="Times New Roman" w:hAnsi="Times New Roman"/>
          <w:sz w:val="24"/>
          <w:szCs w:val="24"/>
        </w:rPr>
        <w:t xml:space="preserve">The PGCS grammar outperforms alternatives by roughly 1,000× in decomposition error, but this is a relative comparison; it is the best available parse, not a proven unique one. The generator hierarchy tests one mechanism family; other production processes (verbose ciphers, constructed languages, compositional systems) could be tested against the same metric suite. All significance tests operate on large N (37,465 tokens), so effect sizes matter more than p-values; we report Cohen's d, Cramér's V, and mutual information alongside significance throughout. The bimodal vocabulary finding is descriptive: we report the hapax-core split as an empirical constraint, not as evidence for or against meaning.</w:t>
      </w:r>
    </w:p>
    <w:p>
      <w:pPr>
        <w:pStyle w:val="Heading2"/>
        <w:spacing w:before="360" w:after="200" w:line="360"/>
      </w:pPr>
      <w:r>
        <w:rPr>
          <w:rFonts w:ascii="Times New Roman" w:cs="Times New Roman" w:eastAsia="Times New Roman" w:hAnsi="Times New Roman"/>
          <w:b/>
          <w:bCs/>
          <w:sz w:val="26"/>
          <w:szCs w:val="26"/>
        </w:rPr>
        <w:t xml:space="preserve">9.4 Falsification Criteria</w:t>
      </w:r>
    </w:p>
    <w:p>
      <w:pPr>
        <w:spacing w:after="200" w:line="360"/>
        <w:jc w:val="both"/>
      </w:pPr>
      <w:r>
        <w:rPr>
          <w:rFonts w:ascii="Times New Roman" w:cs="Times New Roman" w:eastAsia="Times New Roman" w:hAnsi="Times New Roman"/>
          <w:sz w:val="24"/>
          <w:szCs w:val="24"/>
        </w:rPr>
        <w:t xml:space="preserve">Our claims are testable. A generator matching 68 or more of 84 metrics while simultaneously producing the correct hapax-core-fill pattern (97% filled-core hapax types, 61% empty-core non-hapax running text) would falsify the ceiling claim. Discovery of productive PGCS-violating patterns in the manuscript would falsify the grammar itself. Demonstration that self-citation naturally produces the bimodal vocabulary split under conditions we have not tested would weaken the claim that the split requires a differentiated production process. All tests are empirically executable with the code and data we provide.</w:t>
      </w:r>
    </w:p>
    <w:p>
      <w:pPr>
        <w:spacing w:after="200" w:line="360"/>
        <w:jc w:val="both"/>
      </w:pPr>
      <w:r>
        <w:rPr>
          <w:rFonts w:ascii="Times New Roman" w:cs="Times New Roman" w:eastAsia="Times New Roman" w:hAnsi="Times New Roman"/>
          <w:sz w:val="24"/>
          <w:szCs w:val="24"/>
        </w:rPr>
        <w:t xml:space="preserve">The production question has an answer: it is documented on folio 57v, in a notation system the manuscript's own scribes recorded.</w:t>
      </w:r>
    </w:p>
    <w:p>
      <w:pPr>
        <w:pStyle w:val="Heading1"/>
        <w:spacing w:before="480" w:after="240" w:line="360"/>
      </w:pPr>
      <w:r>
        <w:rPr>
          <w:rFonts w:ascii="Times New Roman" w:cs="Times New Roman" w:eastAsia="Times New Roman" w:hAnsi="Times New Roman"/>
          <w:b/>
          <w:bCs/>
          <w:sz w:val="28"/>
          <w:szCs w:val="28"/>
        </w:rPr>
        <w:t xml:space="preserve">Acknowledgements</w:t>
      </w:r>
    </w:p>
    <w:p>
      <w:pPr>
        <w:spacing w:after="200" w:line="360"/>
        <w:jc w:val="both"/>
      </w:pPr>
      <w:r>
        <w:rPr>
          <w:rFonts w:ascii="Times New Roman" w:cs="Times New Roman" w:eastAsia="Times New Roman" w:hAnsi="Times New Roman"/>
          <w:sz w:val="24"/>
          <w:szCs w:val="24"/>
        </w:rPr>
        <w:t xml:space="preserve">The PGCS decomposition builds on foundational observations by Currier (1976), Tiltman (1967), and Stolfi (2005). Jorge Stolfi's identification of Ring 2's repeating sequence made the f57v analysis possible. Torsten Timm and Andreas Schinner's self-citation model provides the production mechanism that PGCS constrains; Michael Greshko's Naibbe cipher, by demonstrating the mirror property from the cipher side, sharpened the argument. Luke Gaskell and Claire Bowern's experimental framework and 90-metric suite established the benchmark against which all generators are evaluated; Lisa Fagin Davis's paleographic identification of five scribal hands provides the multi-hand evidence. Claude (Anthropic) was used as a computational research assistant for statistical analysis and manuscript preparation; all analytical decisions and interpretations are the author's.</w:t>
      </w:r>
    </w:p>
    <w:p>
      <w:pPr>
        <w:pStyle w:val="Heading1"/>
        <w:spacing w:before="480" w:after="240" w:line="360"/>
      </w:pPr>
      <w:r>
        <w:rPr>
          <w:rFonts w:ascii="Times New Roman" w:cs="Times New Roman" w:eastAsia="Times New Roman" w:hAnsi="Times New Roman"/>
          <w:b/>
          <w:bCs/>
          <w:sz w:val="28"/>
          <w:szCs w:val="28"/>
        </w:rPr>
        <w:t xml:space="preserve">Disclosure Statement</w:t>
      </w:r>
    </w:p>
    <w:p>
      <w:pPr>
        <w:spacing w:after="200" w:line="360"/>
        <w:jc w:val="both"/>
      </w:pPr>
      <w:r>
        <w:rPr>
          <w:rFonts w:ascii="Times New Roman" w:cs="Times New Roman" w:eastAsia="Times New Roman" w:hAnsi="Times New Roman"/>
          <w:sz w:val="24"/>
          <w:szCs w:val="24"/>
        </w:rPr>
        <w:t xml:space="preserve">The author reports there are no competing interests to declare.</w:t>
      </w:r>
    </w:p>
    <w:p>
      <w:pPr>
        <w:pStyle w:val="Heading1"/>
        <w:spacing w:before="480" w:after="240" w:line="360"/>
      </w:pPr>
      <w:r>
        <w:rPr>
          <w:rFonts w:ascii="Times New Roman" w:cs="Times New Roman" w:eastAsia="Times New Roman" w:hAnsi="Times New Roman"/>
          <w:b/>
          <w:bCs/>
          <w:sz w:val="28"/>
          <w:szCs w:val="28"/>
        </w:rPr>
        <w:t xml:space="preserve">Funding</w:t>
      </w:r>
    </w:p>
    <w:p>
      <w:pPr>
        <w:spacing w:after="200" w:line="360"/>
        <w:jc w:val="both"/>
      </w:pP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pStyle w:val="Heading1"/>
        <w:spacing w:before="480" w:after="240" w:line="360"/>
      </w:pPr>
      <w:r>
        <w:rPr>
          <w:rFonts w:ascii="Times New Roman" w:cs="Times New Roman" w:eastAsia="Times New Roman" w:hAnsi="Times New Roman"/>
          <w:b/>
          <w:bCs/>
          <w:sz w:val="28"/>
          <w:szCs w:val="28"/>
        </w:rPr>
        <w:t xml:space="preserve">Data Availability Statement</w:t>
      </w:r>
    </w:p>
    <w:p>
      <w:pPr>
        <w:spacing w:after="200" w:line="360"/>
        <w:jc w:val="both"/>
      </w:pPr>
      <w:r>
        <w:rPr>
          <w:rFonts w:ascii="Times New Roman" w:cs="Times New Roman" w:eastAsia="Times New Roman" w:hAnsi="Times New Roman"/>
          <w:sz w:val="24"/>
          <w:szCs w:val="24"/>
        </w:rPr>
        <w:t xml:space="preserve">All code, data, and analysis scripts are publicly available at https://github.com/digitalgoldfisj79/Voynichdecomp. The repository includes complete reproduction scripts, the 84-metric scoring suite, generator implementations for all 19 variants, and worked-example analysis notebooks.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Bozzard — Slot Grammar, Self-Citation, and the Key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2026-03-01T16:12:38.892Z</dcterms:created>
  <dcterms:modified xsi:type="dcterms:W3CDTF">2026-03-01T16:12:38.893Z</dcterms:modified>
</cp:coreProperties>
</file>

<file path=docProps/custom.xml><?xml version="1.0" encoding="utf-8"?>
<Properties xmlns="http://schemas.openxmlformats.org/officeDocument/2006/custom-properties" xmlns:vt="http://schemas.openxmlformats.org/officeDocument/2006/docPropsVTypes"/>
</file>