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6igjhf5rb15" w:id="0"/>
    <w:bookmarkEnd w:id="0"/>
    <w:p w:rsidR="00000000" w:rsidDel="00000000" w:rsidP="00000000" w:rsidRDefault="00000000" w:rsidRPr="00000000" w14:paraId="00000001">
      <w:pPr>
        <w:pStyle w:val="Heading1"/>
        <w:rPr/>
      </w:pPr>
      <w:r w:rsidDel="00000000" w:rsidR="00000000" w:rsidRPr="00000000">
        <w:rPr>
          <w:rtl w:val="0"/>
        </w:rPr>
        <w:t xml:space="preserve">A Productive Grammar Without Recoverable Semantics: Computational Analysis of the Voynich Manuscript’s Notation System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Edward Bozzard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Working Draft — February 2026</w:t>
      </w:r>
      <w:r w:rsidDel="00000000" w:rsidR="00000000" w:rsidRPr="00000000">
        <w:rPr>
          <w:rtl w:val="0"/>
        </w:rPr>
      </w:r>
    </w:p>
    <w:bookmarkStart w:colFirst="0" w:colLast="0" w:name="y1t4en4bj4gp" w:id="1"/>
    <w:bookmarkEnd w:id="1"/>
    <w:p w:rsidR="00000000" w:rsidDel="00000000" w:rsidP="00000000" w:rsidRDefault="00000000" w:rsidRPr="00000000" w14:paraId="00000004">
      <w:pPr>
        <w:pStyle w:val="Heading2"/>
        <w:rPr/>
      </w:pPr>
      <w:r w:rsidDel="00000000" w:rsidR="00000000" w:rsidRPr="00000000">
        <w:rPr>
          <w:rtl w:val="0"/>
        </w:rPr>
        <w:t xml:space="preserve">Abstract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Voynich Manuscript (Beinecke MS 408, c. 1404–1438; Hodgins 2012) exhibits tight morphological structure governed by a productive slot grammar, yet no proposed decipherment has recovered lexical semantics from its text. We present the first unified computational analysis that draws a quantitative boundary between grammatical structure and lexical content.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Using the Prefix–Gallows–Core–Suffix (PGCS) decomposition, a four-slot productive grammar achieving 92.96% character coverage, we construct an information budget showing that five conditioning axes together explain 28.9% of word-selection entropy. The remaining 71.1% resides in a lexical content layer that resists all tested methods of semantic recovery. No external semantic taxonomy produces within-category lexical coherence surviving multiple-comparison correction. Stochastic generators satisfying the grammar reproduce 83.7% of published linguistic benchmarks without encoding meaning. The manuscript is neither cipher, natural language, nor random production: it is a rule-governed notation system whose grammar explains 29% of word selection and whose lexical content is opaque. We define the constraint space bounding admissible production mechanisms and show that monoalphabetic substitution, word-level encryption, and independent word generation are each formally excluded.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Voynich Manuscript, computational linguistics, morphological grammar, information budget, notation systems, mechanism exclusion</w:t>
      </w:r>
    </w:p>
    <w:bookmarkStart w:colFirst="0" w:colLast="0" w:name="mwafrao47xhw" w:id="2"/>
    <w:bookmarkEnd w:id="2"/>
    <w:p w:rsidR="00000000" w:rsidDel="00000000" w:rsidP="00000000" w:rsidRDefault="00000000" w:rsidRPr="00000000" w14:paraId="00000008">
      <w:pPr>
        <w:pStyle w:val="Heading2"/>
        <w:rPr/>
      </w:pPr>
      <w:r w:rsidDel="00000000" w:rsidR="00000000" w:rsidRPr="00000000">
        <w:rPr>
          <w:rtl w:val="0"/>
        </w:rPr>
        <w:t xml:space="preserve">1. Introduction</w:t>
      </w:r>
    </w:p>
    <w:bookmarkStart w:colFirst="0" w:colLast="0" w:name="dxtqo0qwf6fh" w:id="3"/>
    <w:bookmarkEnd w:id="3"/>
    <w:p w:rsidR="00000000" w:rsidDel="00000000" w:rsidP="00000000" w:rsidRDefault="00000000" w:rsidRPr="00000000" w14:paraId="00000009">
      <w:pPr>
        <w:pStyle w:val="Heading3"/>
        <w:rPr/>
      </w:pPr>
      <w:r w:rsidDel="00000000" w:rsidR="00000000" w:rsidRPr="00000000">
        <w:rPr>
          <w:rtl w:val="0"/>
        </w:rPr>
        <w:t xml:space="preserve">1.1 The Paradox</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Voynich Manuscript has resisted decipherment for over five centuries (d’Imperio 1978). Yet it is not random. Character-level bigram entropy (h₂ ≈ 2.1 bits) falls within the range of natural scripts. Word-frequency distributions follow Zipf’s law (R² = 0.915; Zipf 1949). Vocabulary diversity matches natural language corpora. Five manuscript sections (herbal, pharmaceutical, biological, astronomical, and recipe) are distinguishable by vocabulary alone at 76–81% accuracy (Montemurro and Zanette 2013; Bowern and Lindemann 2021). By every surface metric, the text behaves like language.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paradox is that beneath this surface, every attempt to recover lexical meaning has failed. No cipher proposal has produced readable text. No statistical clustering of tokens aligns with the manuscript’s illustrations. Shuffling word order within folios does not degrade section classification, because the signal is purely vocabulary-based, not syntactic. The text has structure without recoverable semantics.</w:t>
      </w:r>
    </w:p>
    <w:bookmarkStart w:colFirst="0" w:colLast="0" w:name="qe8f0fbu3b9v" w:id="4"/>
    <w:bookmarkEnd w:id="4"/>
    <w:p w:rsidR="00000000" w:rsidDel="00000000" w:rsidP="00000000" w:rsidRDefault="00000000" w:rsidRPr="00000000" w14:paraId="0000000C">
      <w:pPr>
        <w:pStyle w:val="Heading3"/>
        <w:rPr/>
      </w:pPr>
      <w:r w:rsidDel="00000000" w:rsidR="00000000" w:rsidRPr="00000000">
        <w:rPr>
          <w:rtl w:val="0"/>
        </w:rPr>
        <w:t xml:space="preserve">1.2 Previous Approaches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traditions dominate VMS scholarship. The cipher tradition (Newbold 1928; Strong 1945; numerous modern proposals) assumes the text encodes natural language through substitution or transposition; all published decipherments have failed reproducibility tests (d’Imperio 1978; Reddy and Knight 2011). The linguistic tradition (Currier 1976; Tiltman 1967; Bennett 1976; Landini 2001; Bowern and Lindemann 2021) documents statistical regularities including positional preferences, character-level constraints, and word-frequency distributions, without claiming decipherment. More recent information-theoretic analyses have identified section-specific keyword distributions (Montemurro and Zanette 2013) and symbol-role patterns (Matlach, Janečková, and Dostál 2022). The hoax tradition (Rugg 2004; Schinner 2007) proposes that the text was generated mechanically to simulate language without carrying meaning.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tradition captures part of the picture. The text is too structured for a hoax yet too anomalous for cipher; it matches natural language statistics yet resists semantic analysis. What is missing is a unified formal description that specifies both the grammar governing production and the precise boundary of its semantic limits.</w:t>
      </w:r>
    </w:p>
    <w:bookmarkStart w:colFirst="0" w:colLast="0" w:name="olb96s3sckym" w:id="5"/>
    <w:bookmarkEnd w:id="5"/>
    <w:p w:rsidR="00000000" w:rsidDel="00000000" w:rsidP="00000000" w:rsidRDefault="00000000" w:rsidRPr="00000000" w14:paraId="0000000F">
      <w:pPr>
        <w:pStyle w:val="Heading3"/>
        <w:rPr/>
      </w:pPr>
      <w:r w:rsidDel="00000000" w:rsidR="00000000" w:rsidRPr="00000000">
        <w:rPr>
          <w:rtl w:val="0"/>
        </w:rPr>
        <w:t xml:space="preserve">1.3 This Paper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present a unified computational analysis whose central result is an information budget: a quantitative decomposition of word-selection entropy into a grammatical component (28.9%) and a lexical content component (71.1%). This budget answers two questions simultaneously. How much of VMS word selection is structurally determined? And is the remainder semantically recoverable?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 2 introduces the PGCS decomposition, a four-slot productive grammar that provides the analytical framework.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 3 builds the grammar–content boundary through three stages: within-word slot structure, across-word sequential and positional grammar, and the information budget itself.</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Section 4 tests whether the content layer encodes recoverable meaning through positive-controlled falsification, each method validated on real medieval manuscripts.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 5 interprets the findings and defines the constraint space bounding admissible production mechanisms.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statistics are derived from a single canonical corpus using a single analytical decomposition. The paper combines and extends results from three prior working papers (Bozzard 2026a, 2026b, 2026c).</w:t>
      </w:r>
    </w:p>
    <w:bookmarkStart w:colFirst="0" w:colLast="0" w:name="xvac9ekkhs9c" w:id="6"/>
    <w:bookmarkEnd w:id="6"/>
    <w:p w:rsidR="00000000" w:rsidDel="00000000" w:rsidP="00000000" w:rsidRDefault="00000000" w:rsidRPr="00000000" w14:paraId="00000016">
      <w:pPr>
        <w:pStyle w:val="Heading2"/>
        <w:rPr/>
      </w:pPr>
      <w:r w:rsidDel="00000000" w:rsidR="00000000" w:rsidRPr="00000000">
        <w:rPr>
          <w:rtl w:val="0"/>
        </w:rPr>
        <w:t xml:space="preserve">2. The PGCS Decomposition</w:t>
      </w:r>
    </w:p>
    <w:bookmarkStart w:colFirst="0" w:colLast="0" w:name="qst82lox2o7k" w:id="7"/>
    <w:bookmarkEnd w:id="7"/>
    <w:p w:rsidR="00000000" w:rsidDel="00000000" w:rsidP="00000000" w:rsidRDefault="00000000" w:rsidRPr="00000000" w14:paraId="00000017">
      <w:pPr>
        <w:pStyle w:val="Heading3"/>
        <w:rPr/>
      </w:pPr>
      <w:r w:rsidDel="00000000" w:rsidR="00000000" w:rsidRPr="00000000">
        <w:rPr>
          <w:rtl w:val="0"/>
        </w:rPr>
        <w:t xml:space="preserve">2.1 Corpus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analyses use the Zandbergen–Landini–Zandbergen–IVTFF (ZLZI) transcription of the Voynich Manuscript (Zandbergen 2024), comprising 37,465 tokens and 7,598 types across 226 folios. This transcription system uses Extended Voynich Alphabet (EVA) characters. A</w:t>
      </w:r>
      <w:r w:rsidDel="00000000" w:rsidR="00000000" w:rsidRPr="00000000">
        <w:rPr>
          <w:rtl w:val="0"/>
        </w:rPr>
        <w:t xml:space="preserve">n implementation with Voynich glyphs rendered via ttf is available in the App subdirectory of the author's GitHub repo.</w:t>
      </w:r>
      <w:r w:rsidDel="00000000" w:rsidR="00000000" w:rsidRPr="00000000">
        <w:rPr>
          <w:rtl w:val="0"/>
        </w:rPr>
      </w:r>
    </w:p>
    <w:bookmarkStart w:colFirst="0" w:colLast="0" w:name="iocoo2i540zg" w:id="8"/>
    <w:bookmarkEnd w:id="8"/>
    <w:p w:rsidR="00000000" w:rsidDel="00000000" w:rsidP="00000000" w:rsidRDefault="00000000" w:rsidRPr="00000000" w14:paraId="00000019">
      <w:pPr>
        <w:pStyle w:val="Heading3"/>
        <w:rPr/>
      </w:pPr>
      <w:r w:rsidDel="00000000" w:rsidR="00000000" w:rsidRPr="00000000">
        <w:rPr>
          <w:rtl w:val="0"/>
        </w:rPr>
        <w:t xml:space="preserve">2.2 The Four-Slot Model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Prefix–Gallows–Core–Suffix (PGCS) model decomposes each token into four ordered slots.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slot (8 types) occupies word-initial position before any gallows character. The critical innovation of PGCS is the reassignment of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gallows to prefix status. These characters behave distributionally as prefixes: they appear at word-initial position, combine freely with following gallows characters, and account for 66.6% of all tokens containing them (24,964 tokens). Under previous three-slot models,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grouped with gallows characters, obscuring the true slot structure.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Gallows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slot (9 types) contains the tall characters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their bench variants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ckh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cph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cfh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plus the rare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slot (open class) carries the central morphemic material; critically, 52.7% of tokens have empty cores.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Suffix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slot (33 types) is a closed inventory of terminal material with highly regular distributional properties.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reclassification of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gallows to prefix is the most consequential boundary decision, affecting 24,964 tokens. It produces the 52.7% empty-core rate, nearly halves core–suffix mutual information (from 1.860 to 0.976 bits), and recasts common words like “chedy” as function words [ch | ∅ | ∅ | edy] rather than content words [∅ | ch | e | dy].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four-slot design is further motivated by the scale difference between gallows (9 types) and core (2,001 types), by the prefix–gallows association being the strongest pairwise coupling in the system (Cramér’s V = 0.266), and by the fact that the empty-core rate is invisible under any model that folds gallows into core.</w:t>
      </w:r>
    </w:p>
    <w:bookmarkStart w:colFirst="0" w:colLast="0" w:name="8hfkz5r5jinh" w:id="9"/>
    <w:bookmarkEnd w:id="9"/>
    <w:p w:rsidR="00000000" w:rsidDel="00000000" w:rsidP="00000000" w:rsidRDefault="00000000" w:rsidRPr="00000000" w14:paraId="00000020">
      <w:pPr>
        <w:pStyle w:val="Heading3"/>
        <w:rPr/>
      </w:pPr>
      <w:r w:rsidDel="00000000" w:rsidR="00000000" w:rsidRPr="00000000">
        <w:rPr>
          <w:rtl w:val="0"/>
        </w:rPr>
        <w:t xml:space="preserve">2.3 Validation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PGCS grammar is formalized as 210 rules: 81 character-sequence constraints, 52 pair-adjacency rules, 41 suffix rules, and 36 prefix rules. The P70 merged grammar achieves character coverage of 92.96% and fully parses 71.93% of word types (99.87% partial coverage). Every attested token receives a valid four-slot parse.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test generalization, we held out 40% of the corpus by folio. The held-out set contains 3,930 unique types not seen during rule development; zero produce PGCS violations. The grammar generalizes perfectly to unseen data. Position-conditioned quintuples (prefix, gallows, core-class, suffix-family, line-position) provide a further test: 6,750 observed quintuples from 37,465 tokens represent a 292-fold compression from the theoretical combinatorial space, again with zero validation failures.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Comparison against all alternative slot assignments yields a decomposition error of 0.001 bits for PGCS versus 1.074 bits for the next-best alternative, a roughly 1,000-fold difference.</w:t>
      </w:r>
    </w:p>
    <w:bookmarkStart w:colFirst="0" w:colLast="0" w:name="r0b1myfa0ecj" w:id="10"/>
    <w:bookmarkEnd w:id="10"/>
    <w:p w:rsidR="00000000" w:rsidDel="00000000" w:rsidP="00000000" w:rsidRDefault="00000000" w:rsidRPr="00000000" w14:paraId="00000024">
      <w:pPr>
        <w:pStyle w:val="Heading2"/>
        <w:rPr/>
      </w:pPr>
      <w:r w:rsidDel="00000000" w:rsidR="00000000" w:rsidRPr="00000000">
        <w:rPr>
          <w:rtl w:val="0"/>
        </w:rPr>
        <w:t xml:space="preserve">3. The Grammar–Content Boundary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section builds the paper’s central result: a quantitative partition of word-selection entropy into a grammatical component and a content component. We establish this in three stages. First, slot-level analysis reveals how much structure the four-slot decomposition captures within individual words. Then, sequential and positional analysis shows that structural constraints extend across word boundaries and through line position. Finally, these axes are combined into a single information budget.</w:t>
      </w:r>
    </w:p>
    <w:bookmarkStart w:colFirst="0" w:colLast="0" w:name="dqrl1dj4k12" w:id="11"/>
    <w:bookmarkEnd w:id="11"/>
    <w:p w:rsidR="00000000" w:rsidDel="00000000" w:rsidP="00000000" w:rsidRDefault="00000000" w:rsidRPr="00000000" w14:paraId="00000026">
      <w:pPr>
        <w:pStyle w:val="Heading3"/>
        <w:rPr/>
      </w:pPr>
      <w:r w:rsidDel="00000000" w:rsidR="00000000" w:rsidRPr="00000000">
        <w:rPr>
          <w:rtl w:val="0"/>
        </w:rPr>
        <w:t xml:space="preserve">3.1 Within-Word Structure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chain rule of entropy (Shannon 1948; Cover and Thomas 2006) guarantees H(word) = H(P) + H(G|P) + H(C|P,G) + H(S|P,G,C) for any lossless decomposition. The empirical finding lies in the gap between this sum and the sum of marginal slot entropies. Unconditional slot entropies sum to 13.171 bits, exceeding H(word) = 10.311 by 2.860 bits (21.7% redundancy). PGCS slots are approximately 78% independent, with the remaining 22% carried primarily by the core–suffix association (MI = 0.976 bits), followed by prefix–core (MI = 0.428 bits) and prefix–gallows (MI = 0.393 bits).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More than half of all tokens (52.7%) have empty cores, composed entirely from closed-class inventory items. This rate varies by section, from 37.7% (Cosmological) to 63.5% (Balneological). Unlike natural language, where content words dominate running text, this manuscript’s vocabulary is majority-functional. Second-order character entropy (h₂ = 2.13 bits) nonetheless falls within the natural language range documented by Bowern and Lindemann (2021), ranging from 1.96 (biological) to 2.23 (pharmaceutical) across sections.</w:t>
      </w:r>
    </w:p>
    <w:bookmarkStart w:colFirst="0" w:colLast="0" w:name="2o4flcj5jvln" w:id="12"/>
    <w:bookmarkEnd w:id="12"/>
    <w:p w:rsidR="00000000" w:rsidDel="00000000" w:rsidP="00000000" w:rsidRDefault="00000000" w:rsidRPr="00000000" w14:paraId="00000029">
      <w:pPr>
        <w:pStyle w:val="Heading3"/>
        <w:rPr/>
      </w:pPr>
      <w:r w:rsidDel="00000000" w:rsidR="00000000" w:rsidRPr="00000000">
        <w:rPr>
          <w:rtl w:val="0"/>
        </w:rPr>
        <w:t xml:space="preserve">3.2 Across-Word Structure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words were selected independently, even from position-specific pools, adjacent word lengths would show negligible correlation. In fact they are positively correlated: AC(1) = +0.138. We prove that under independent sampling the expected autocorrelation magnitude is bounded by approximately 0.025 given VMS parameters. The observed value exceeds this bound by a factor of 5.5, and simulation with 10,000 replications confirms that no replication exceeds |AC| = 0.028. Independent word generation is formally excluded as a production mechanism.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Having established that words are not independent, we can ask how they depend on each other. The answer is a suffix-to-prefix transition grammar. The conditional distribution P(prefix_{N+1} | sfx_fam_N) across all consecutive word pairs yields an 8×8 transition matrix with strong directional biases: Y-suffix → qo-prefix (26.0%, 1.9× enrichment), BARE-suffix → ∅-prefix (39.5%, 1.8×), N-suffix → o-prefix (29.7%), and R-suffix → o-prefix (26.1%). Line-initial tokens show a distinct distribution with elevated y-prefix (13.4%), s-prefix (9.3%), and d-prefix (14.3%).</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transition grammar contributes MI(quad; prev_sfx) = 0.757 bits beyond section and position conditioning combined, where “quad” denotes the four-slot combination (prefix, gallows, core-class, suffix-family). This makes it the single largest additional predictive axis. The transition grammar also identifies the structural pathway behind the length autocorrelation: suffix-family constrains the following prefix, and prefix constrains word length, so the coupling propagates through the PGCS slot system rather than through direct length dependence. The effect resets at line boundaries, consistent with within-line AC (0.151) exceeding cross-line AC (0.062).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positional grammar confirms that the line is a functional unit and not merely a scribal convenience. Word selection correlates with line position at MI(quad; position) = 0.380 bits, and line structure follows a three-zone pattern. The opener zone is enriched for d-prefix (15.3% vs 10.1%, Z = 12.5) and depleted for empty cores (39% vs 57%). The closer zone carries the M-suffix line-ending marker at 14.9% versus 1.8% at the penultimate position (Z = 57.8), by far the strongest positional signal in the manuscript. The middle zone is the default register.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First-line-of-paragraph openers (195 tokens) are particularly striking: 79.5% carry ∅-prefix, 88.2% bear gallows, and only 13.3% have empty cores. This paragraph-marker class has no analogue in our comparison sample of medieval and modern texts, and is consistent with a notation system that marks discourse boundaries through slot configuration rather than lexical choice. Position conditioning eliminates 58.6% of spurious (token, position) assignments, constraining where each type can appear without changing which types the grammar accepts.</w:t>
      </w:r>
    </w:p>
    <w:bookmarkStart w:colFirst="0" w:colLast="0" w:name="sl6p4ttbkyg7" w:id="13"/>
    <w:bookmarkEnd w:id="13"/>
    <w:p w:rsidR="00000000" w:rsidDel="00000000" w:rsidP="00000000" w:rsidRDefault="00000000" w:rsidRPr="00000000" w14:paraId="0000002F">
      <w:pPr>
        <w:pStyle w:val="Heading3"/>
        <w:rPr/>
      </w:pPr>
      <w:r w:rsidDel="00000000" w:rsidR="00000000" w:rsidRPr="00000000">
        <w:rPr>
          <w:rtl w:val="0"/>
        </w:rPr>
        <w:t xml:space="preserve">3.3 The Information Budget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preceding analyses identify five conditioning axes. We compute cumulative mutual information between each axis and the PGCS quad (prefix, gallows, core-class, suffix-family), adding axes in decreasing order of marginal contribution:</w:t>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Conditioning (cumulative)</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 (bits)</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H(quad)</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Δ added</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Section</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0.810</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8.9%</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0.810</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Line position</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1.329</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14.6%</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0.518</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suffix family</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2.086</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22.9%</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0.757</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Paragraph flag</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2.116</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23.2%</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0.030</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Quire (production unit)</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2.634</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28.9%</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0.518</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explained</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2.634</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28.9%</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Unexplained (lexicon)</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6.490</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71.1%</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1. Information budget. Five conditioning axes explain 28.9% of quad entropy (H(quad) = 9.124 bits). The remaining 71.1% is the lexical content layer.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largest single increment comes from the sequential transition axis (0.757 bits), which identifies suffix-to-prefix coupling as the dominant sequential structure, consistent with the autocorrelation bound established in §3.2. The paragraph flag contributes negligibly (0.030 bits) despite its striking distributional signature, because the 226 paragraph-initial tokens represent only 0.6% of the corpus. Quire identity adds 0.518 bits beyond section, reflecting within-section vocabulary variation across production units, consistent with cross-quire lexical clustering documented in the companion codicological paper (Bozzard 2026b), which independently validates paleographic hand assignments (Fagin Davis 2020).</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71.1% unexplained entropy is not noise. It is the content signal: the specific lexical choices that distinguish one passage from another within the same section, position, and grammatical context. The grammar (29%) is fully reproducible without semantic encoding. The content (71%) is what resists recovery. The remainder of this paper tests whether that content layer encodes meaning.</w:t>
      </w:r>
    </w:p>
    <w:bookmarkStart w:colFirst="0" w:colLast="0" w:name="vnnt8ddxyfiw" w:id="14"/>
    <w:bookmarkEnd w:id="14"/>
    <w:p w:rsidR="00000000" w:rsidDel="00000000" w:rsidP="00000000" w:rsidRDefault="00000000" w:rsidRPr="00000000" w14:paraId="00000054">
      <w:pPr>
        <w:pStyle w:val="Heading2"/>
        <w:rPr/>
      </w:pPr>
      <w:r w:rsidDel="00000000" w:rsidR="00000000" w:rsidRPr="00000000">
        <w:rPr>
          <w:rtl w:val="0"/>
        </w:rPr>
        <w:t xml:space="preserve">4. Testing for Semantic Content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grammar produces structured text. Does the lexical content layer encode recoverable meaning? This section tests that question through positive-controlled falsification: each method is first validated on a real medieval manuscript where it succeeds, then applied to the VMS where it does not.</w:t>
      </w:r>
    </w:p>
    <w:bookmarkStart w:colFirst="0" w:colLast="0" w:name="xs33anwil93t" w:id="15"/>
    <w:bookmarkEnd w:id="15"/>
    <w:p w:rsidR="00000000" w:rsidDel="00000000" w:rsidP="00000000" w:rsidRDefault="00000000" w:rsidRPr="00000000" w14:paraId="00000056">
      <w:pPr>
        <w:pStyle w:val="Heading3"/>
        <w:rPr/>
      </w:pPr>
      <w:r w:rsidDel="00000000" w:rsidR="00000000" w:rsidRPr="00000000">
        <w:rPr>
          <w:rtl w:val="0"/>
        </w:rPr>
        <w:t xml:space="preserve">4.1 Positive Controls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Florence, Biblioteca Riccardiana MS 106 is a 15th-century Italian herbal manuscript. Applying the same Jaccard-based clustering used for VMS analysis, categories with genuine therapeutic vocabulary show elevated similarity (p &lt; 0.01 by permutation test). The Tacuinum Sanitatis, a genuinely formulaic medieval pharmaceutical text, shows strong word-order sensitivity: MI₁ = 1.79 bits, with 52% degradation under shuffling and 99% under frame ablation. Both methods detect semantic structure when present.</w:t>
      </w:r>
    </w:p>
    <w:bookmarkStart w:colFirst="0" w:colLast="0" w:name="1srkr33pk6eo" w:id="16"/>
    <w:bookmarkEnd w:id="16"/>
    <w:p w:rsidR="00000000" w:rsidDel="00000000" w:rsidP="00000000" w:rsidRDefault="00000000" w:rsidRPr="00000000" w14:paraId="00000058">
      <w:pPr>
        <w:pStyle w:val="Heading3"/>
        <w:rPr/>
      </w:pPr>
      <w:r w:rsidDel="00000000" w:rsidR="00000000" w:rsidRPr="00000000">
        <w:rPr>
          <w:rtl w:val="0"/>
        </w:rPr>
        <w:t xml:space="preserve">4.2 Lexical Structure Without Semantic Content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production system makes genuine combinatorial decisions, but these decisions are grammatical rather than referential. The strongest coupling in the dataset is between core morphemes and suffix-family selection (MI = 0.470 bits; Z = 173.8 against the null of independence): certain cores preferentially take certain suffixes, so VMS words are not randomly assembled. This coupling interacts with position: the 142 cores occurring ten or more times partition into opener-biased, closer-biased, and position-neutral classes (χ² = 2608.6, p ≈ 0), and even visually similar cores (edit distance = 1) produce significantly different suffix profiles in 73.6% of 280 tested pairs. The grammar tracks morphemic identity at fine granularity.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the vocabulary level, the lexicon stratifies into functional and content-bearing components. Thirty whole-word tokens behave as function-word candidates, with coefficient of variation below 0.37 across sections and typically complex PGCS structure with no core. At the other extreme, 48 cores concentrate in one or two sections (CV &gt; 0.8), recapitulating the vocabulary differentiation that drives section classification but localizing it to the core slot. The Currier A/B “languages” similarly manifest as differential word selection within a shared grammar rather than as distinct grammars. The suffix-family abstraction (7 categories) is validated against the full 33-member suffix inventory: the vowel-prefix component carries 45% of suffix entropy and 85% of section-specific information, while the terminal carries structural information. The family level captures grammar; the discarded variation is content.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patterns confirm a structured and internally consistent production system. Whether its combinatorial decisions encode meaning is the question the next section addresses.</w:t>
      </w:r>
    </w:p>
    <w:bookmarkStart w:colFirst="0" w:colLast="0" w:name="dw17zhc4sb0m" w:id="17"/>
    <w:bookmarkEnd w:id="17"/>
    <w:p w:rsidR="00000000" w:rsidDel="00000000" w:rsidP="00000000" w:rsidRDefault="00000000" w:rsidRPr="00000000" w14:paraId="0000005C">
      <w:pPr>
        <w:pStyle w:val="Heading3"/>
        <w:rPr/>
      </w:pPr>
      <w:r w:rsidDel="00000000" w:rsidR="00000000" w:rsidRPr="00000000">
        <w:rPr>
          <w:rtl w:val="0"/>
        </w:rPr>
        <w:t xml:space="preserve">4.3 Semantic Tests Fail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Five independent tests of semantic content yield uniformly negative results.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 classification achieves 76–81% accuracy using token frequencies, but shuffling token order within folios produces identical accuracy. The signal is bag-of-words, reflecting notation conventions rather than topic encoding. This reframes the findings of Bowern and Lindemann (2021) and Montemurro and Zanette (2013): the vocabulary differentiation is real, but the interpretation as semantic must be revised.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Bigram-based folio similarity correlates at ρ = 0.32 between original and shuffled orderings, entirely predicted by vocabulary overlap (Jaccard = 0.19 predicts ρ = 0.31 in simulation). The Tacuinum Sanitatis positive control shows 52% degradation under the same test. VMS does not.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Fourteen external groupings derived from published identifications (Tucker and Janick plant identifications, Galenic humoral categories, illustration-based groupings, therapeutic classes) were tested against within-category lexical coherence. None survives Bonferroni correction at α = 0.0063. These were specified a priori, not selected post hoc.</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Folios f48v and f89v2, identified in the literature as depicting the same plant, share zero content-core overlap (Jaccard = 0.000). All shared vocabulary consists of structural cores appearing uniformly across the manuscript. This single-case falsification tests the strongest version of the “text describes illustrations” hypothesis.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Word-to-word mutual information is 0.45 bits, an order of magnitude below the 3–5 bits typical of natural language. Decomposition shows 98% derives from vocabulary frequencies rather than sequential structure. The sequential structure that does exist is entirely grammatical: the suffix-to-prefix transitions documented in §3.2, not lexical association.</w:t>
      </w:r>
    </w:p>
    <w:bookmarkStart w:colFirst="0" w:colLast="0" w:name="o9ygx3eof57a" w:id="18"/>
    <w:bookmarkEnd w:id="18"/>
    <w:p w:rsidR="00000000" w:rsidDel="00000000" w:rsidP="00000000" w:rsidRDefault="00000000" w:rsidRPr="00000000" w14:paraId="00000063">
      <w:pPr>
        <w:pStyle w:val="Heading3"/>
        <w:rPr/>
      </w:pPr>
      <w:r w:rsidDel="00000000" w:rsidR="00000000" w:rsidRPr="00000000">
        <w:rPr>
          <w:rtl w:val="0"/>
        </w:rPr>
        <w:t xml:space="preserve">4.4 Mechanism Exclusions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preceding results formally exclude several classes of production mechanism.</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Monoalphabetic substitution over natural-language prose is excluded because VMS combines character entropy h₂ ≈ 2.1 with positive length autocorrelation (AC = +0.138). Simple substitution preserves the autocorrelation structure of its source. Natural-language prose in Latin, Italian, and German shows negative or near-zero AC, so no monoalphabetic cipher over such sources can produce the VMS’s positive value.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Word-level encryption is excluded because word-to-word mutual information (0.45 bits, of which 98% derives from vocabulary frequencies) is an order of magnitude below the 3–5 bits expected of any word-boundary-preserving cipher applied to natural language. Greshko (2025) demonstrated that verbose homophonic substitution replicates many VMS word-level statistics, but such systems fail on the length autocorrelation, the position-frequency gradient (−41.2 vs −1 to −2), and the gallows selection grammar. These gaps are systematic, not parametric.</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Independent word generation is excluded by the autocorrelation bound. The suffix-to-prefix transition grammar (§3.2) identifies the specific coupling mechanism: each word’s suffix constrains the following word’s prefix, producing cross-word dependence that no IID model can replicate.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Cardan grille hypothesis (Rugg 2004; Schinner 2007) is excluded by morphological precision: grille-based generation produces 6.7–8.4% finite-state violations versus the manuscript’s 0%. The VMS is more morphologically constrained than grille systems can achieve without explicit morphological knowledge.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Stochastic generators satisfying the PGCS grammar reproduce 83.7% of the Bowern-Gaskell benchmark suite without encoding any semantic content, approaching the 86% ceiling that represents VMS self-consistency across manuscript partitions. The information budget clarifies why: the grammatical fraction, plus statistically predictable vocabulary, accounts for the ceiling. The remaining gap represents genuine lexical decisions that no structural constraint captures. The one structure no generator reproduces is the position-frequency gradient (VMS: −41.2; all generators: −1 to −2), pointing toward non-stationary production mechanisms that remain unmodelled. Character-level and word-level constraints are independently satisfiable but not jointly: maximum joint satisfaction across 30+ configurations is 67%, incompatible with hierarchical lexical encoding where optimising one layer should preserve the other.</w:t>
      </w:r>
    </w:p>
    <w:bookmarkStart w:colFirst="0" w:colLast="0" w:name="8c0xo2hjzqpf" w:id="19"/>
    <w:bookmarkEnd w:id="19"/>
    <w:p w:rsidR="00000000" w:rsidDel="00000000" w:rsidP="00000000" w:rsidRDefault="00000000" w:rsidRPr="00000000" w14:paraId="0000006A">
      <w:pPr>
        <w:pStyle w:val="Heading2"/>
        <w:rPr/>
      </w:pPr>
      <w:r w:rsidDel="00000000" w:rsidR="00000000" w:rsidRPr="00000000">
        <w:rPr>
          <w:rtl w:val="0"/>
        </w:rPr>
        <w:t xml:space="preserve">5. Discussion</w:t>
      </w:r>
    </w:p>
    <w:bookmarkStart w:colFirst="0" w:colLast="0" w:name="6xgjdngf04ft" w:id="20"/>
    <w:bookmarkEnd w:id="20"/>
    <w:p w:rsidR="00000000" w:rsidDel="00000000" w:rsidP="00000000" w:rsidRDefault="00000000" w:rsidRPr="00000000" w14:paraId="0000006B">
      <w:pPr>
        <w:pStyle w:val="Heading3"/>
        <w:rPr/>
      </w:pPr>
      <w:r w:rsidDel="00000000" w:rsidR="00000000" w:rsidRPr="00000000">
        <w:rPr>
          <w:rtl w:val="0"/>
        </w:rPr>
        <w:t xml:space="preserve">5.1 What Kind of System Is This?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information budget and the semantic tests converge on a single characterization: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rule-governed notation system with determinate grammar and opaque content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Like</w:t>
      </w:r>
      <w:r w:rsidDel="00000000" w:rsidR="00000000" w:rsidRPr="00000000">
        <w:rPr>
          <w:rtl w:val="0"/>
        </w:rPr>
        <w:t xml:space="preserve">ly 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pharmaceutical abbreviation system, VMS text follows formal rules while the mapping between symbols and referents is not recoverable from distributional statistics alone. The content may be meaningful to a reader who possesses the key, or it may be a structural exercise demonstrating mastery of the notation system itself. The information budget makes this characterization quantitatively precise: 29% of each word’s identity is grammatically determined, and 71% is lexically chosen but opaque.</w:t>
      </w:r>
    </w:p>
    <w:bookmarkStart w:colFirst="0" w:colLast="0" w:name="jn9c8enxtqke" w:id="21"/>
    <w:bookmarkEnd w:id="21"/>
    <w:p w:rsidR="00000000" w:rsidDel="00000000" w:rsidP="00000000" w:rsidRDefault="00000000" w:rsidRPr="00000000" w14:paraId="0000006D">
      <w:pPr>
        <w:pStyle w:val="Heading3"/>
        <w:rPr/>
      </w:pPr>
      <w:r w:rsidDel="00000000" w:rsidR="00000000" w:rsidRPr="00000000">
        <w:rPr>
          <w:rtl w:val="0"/>
        </w:rPr>
        <w:t xml:space="preserve">5.2 The Constraint Space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combined results define a narrow constraint space that any valid production mechanism must occupy:</w:t>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Constraint</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it excludes</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h₂</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2.1 bits</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 character sequences</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Zipf R²</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0.915</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Flat-frequency generators</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AC(1)</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+0.138 (bound: 0.025)</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IID word sampling</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 (word–word)</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0.45 bits (98% frequency)</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Word-level encryption</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MI(quad; prev_sfx)</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0.757 bits</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Sequential-independent generators</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MI(quad; position)</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0.380 bits</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Position-independent generators</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Placement precision</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58.6% spurious pairs eliminated</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Unconstrained positional assignment</w:t>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Position-frequency gradient</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−41.2</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Stationary generators</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PGCS coverage</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92.96% / 71.93%</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Non-morphological systems</w:t>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Held-out violations</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0/3,930 types</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Overfitting / memorization</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Core–suffix coupling</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 = 173.8</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Independent slot filling</w:t>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substitutability</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73.6% distinguishable</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 equivalence classes</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 words (CV&lt;0.37)</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 tokens</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Purely content-bearing text</w:t>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Section-variable cores (CV&gt;0.8)</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 cores</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Homogeneous notation</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 budget</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28.9% grammar / 71.1% content</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Models conflating grammar with content</w:t>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2. The constraint space. Mechanisms must simultaneously satisfy all rows.</w:t>
      </w:r>
    </w:p>
    <w:bookmarkStart w:colFirst="0" w:colLast="0" w:name="awrx273dblvk" w:id="22"/>
    <w:bookmarkEnd w:id="22"/>
    <w:p w:rsidR="00000000" w:rsidDel="00000000" w:rsidP="00000000" w:rsidRDefault="00000000" w:rsidRPr="00000000" w14:paraId="000000A0">
      <w:pPr>
        <w:pStyle w:val="Heading3"/>
        <w:rPr/>
      </w:pPr>
      <w:r w:rsidDel="00000000" w:rsidR="00000000" w:rsidRPr="00000000">
        <w:rPr>
          <w:rtl w:val="0"/>
        </w:rPr>
        <w:t xml:space="preserve">5.3 Limitations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Absence of recovered semantics is not proof of absence of semantics. A sufficiently complex encoding could produce the observed signature while carrying meaning undetectable by our methods. We report that no tested method detects semantic content, including methods that succeed on comparable medieval manuscripts.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PGCS grammar outperforms alternatives by roughly 1,000× in decomposition error, but this is a relative comparison. All analyses use a single transcription (ZLZI); robustness checks show stability of core findings, but transcription dependence should be noted. The grammar is deliberately permissive (100% recall, unknown precision), optimised for entropy decomposition rather than morphological precision. All significance tests operate on large N (37,465 tokens), so effect sizes matter more than p-values; they are small to medium (Cramér’s V = 0.1–0.34 for positional effects). The information budget reports mutual information alongside significance to ensure effects are informationally substantive, not merely significant.</w:t>
      </w:r>
    </w:p>
    <w:bookmarkStart w:colFirst="0" w:colLast="0" w:name="z66g2wa3sxcs" w:id="23"/>
    <w:bookmarkEnd w:id="23"/>
    <w:p w:rsidR="00000000" w:rsidDel="00000000" w:rsidP="00000000" w:rsidRDefault="00000000" w:rsidRPr="00000000" w14:paraId="000000A3">
      <w:pPr>
        <w:pStyle w:val="Heading3"/>
        <w:rPr/>
      </w:pPr>
      <w:r w:rsidDel="00000000" w:rsidR="00000000" w:rsidRPr="00000000">
        <w:rPr>
          <w:rtl w:val="0"/>
        </w:rPr>
        <w:t xml:space="preserve">5.4 Implications and Falsification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information budget identifies the lexical content layer as the primary target for future investigation. Its opacity constrains possible content-encoding schemes: any semantically transparent encoding would produce detectable within-category lexical coherence (§4.3) or order sensitivity, and the absence of both implies either that the encoding defeats distributional analysis or that the content layer does not encode natural-language semantics in a conventional sense.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52.7% empty-core rate suggests many tokens may be function words, testable through distributional semantics at the slot level. The core–suffix coupling implies that if cores carry referential content, suffixes partially index it. The position-frequency gradient (−41.2) points toward non-stationary production mechanisms as a priority for modelling.</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Claims of semantic encoding must demonstrate: (i) vocabulary clustering surviving multiple-comparison correction; (ii) disruption of folio similarity under token shuffling; (iii) joint satisfaction of character-level and word-level constraints beyond the 67% ceiling; and (iv) an explanation for constraint independence between orthographic and distributional layers. Claims of production mechanisms must satisfy: the autocorrelation bound (AC ≥ +0.10); zero PGCS violations on held-out data; core–suffix coupling (MI ≥ 0.40 bits); suffix-to-prefix sequential structure (MI ≥ 0.50 bits); and the positional frequency gradient (PFG ≤ −30). No tested mechanism currently satisfies all five.</w:t>
      </w:r>
    </w:p>
    <w:bookmarkStart w:colFirst="0" w:colLast="0" w:name="w1u31dmxnroq" w:id="24"/>
    <w:bookmarkEnd w:id="24"/>
    <w:p w:rsidR="00000000" w:rsidDel="00000000" w:rsidP="00000000" w:rsidRDefault="00000000" w:rsidRPr="00000000" w14:paraId="000000A7">
      <w:pPr>
        <w:pStyle w:val="Heading2"/>
        <w:rPr/>
      </w:pPr>
      <w:r w:rsidDel="00000000" w:rsidR="00000000" w:rsidRPr="00000000">
        <w:rPr>
          <w:rtl w:val="0"/>
        </w:rPr>
        <w:t xml:space="preserve">6. Conclusion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Voynich Manuscript is governed by a productive four-slot grammar whose reach we can now measure. Five conditioning axes together explain 28.9% of word selection. The remaining 71.1% is the lexical content layer, and it is opaque to every tested method of semantic recovery, including methods that succeed on comparable medieval manuscripts.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result reframes the manuscript’s central puzzle. The question is not whether the text is meaningful or meaningless, structured or random. It is both structured and opaque, and the boundary between the two is quantifiable. The grammar is real, productive, and fully reproducible without any semantic encoding. The content layer is also real, carrying genuine lexical decisions visible in core–suffix coupling, positional specialization, and suffix-to-prefix sequential transitions. But those decisions, whatever they encode, do not yield to distributional analysis.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constraint space bounding admissible production mechanisms is correspondingly narrow. Any proposed explanation must satisfy character-level, word-level, and cross-word constraints simultaneously while producing no recoverable semantic signal through any tested method. Any proposed mechanism, whether cipher, natural language, or deliberate construction, must reside within that space. The constraints are specific, quantitative, and falsifiable.</w:t>
      </w:r>
    </w:p>
    <w:bookmarkStart w:colFirst="0" w:colLast="0" w:name="81h2fboyudjs" w:id="25"/>
    <w:bookmarkEnd w:id="25"/>
    <w:p w:rsidR="00000000" w:rsidDel="00000000" w:rsidP="00000000" w:rsidRDefault="00000000" w:rsidRPr="00000000" w14:paraId="000000AB">
      <w:pPr>
        <w:pStyle w:val="Heading2"/>
        <w:rPr/>
      </w:pPr>
      <w:r w:rsidDel="00000000" w:rsidR="00000000" w:rsidRPr="00000000">
        <w:rPr>
          <w:rtl w:val="0"/>
        </w:rPr>
        <w:t xml:space="preserve">Acknowledgments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PGCS decomposition builds on foundational observations by Currier (1976), Tiltman (1967), and Stolfi (2005). Jorge Stolfi provided detailed feedback on entropy interpretation that substantially improved §3. The ZLZI transcription is maintained by René Zandbergen and colleagues. The Bowern-Gaskell benchmark suite (Bowern and Lindemann 2021) provided the statistical framework against which generators were evaluated. ChatGPT (GPT-4o) and Claude (Anthropic) were used as computational research assistants for statistical analysis, code development, and manuscript preparation; all analytical decisions and interpretations are the author’s.</w:t>
      </w:r>
    </w:p>
    <w:bookmarkStart w:colFirst="0" w:colLast="0" w:name="qpfb1zibsfos" w:id="26"/>
    <w:bookmarkEnd w:id="26"/>
    <w:p w:rsidR="00000000" w:rsidDel="00000000" w:rsidP="00000000" w:rsidRDefault="00000000" w:rsidRPr="00000000" w14:paraId="000000AD">
      <w:pPr>
        <w:pStyle w:val="Heading2"/>
        <w:rPr/>
      </w:pPr>
      <w:r w:rsidDel="00000000" w:rsidR="00000000" w:rsidRPr="00000000">
        <w:rPr>
          <w:rtl w:val="0"/>
        </w:rPr>
        <w:t xml:space="preserve">References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Bennett, W. R. (1976).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Scientific and Engineering Problem-Solving with the Computer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Englewood Cliffs, NJ: Prentice-Hall.</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Beesley, K. R. and Karttunen, L. (2003).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Finite State Morphology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Stanford, CA: CSLI Publications.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Bowern, C. and Lindemann, L. (2021). The linguistics of the Voynich Manuscript.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Annual Review of Linguistics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 285–308.</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Bozzard, E. (2026a). Two-level information architecture in the Voynich Manuscript.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Working paper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Bozzard, E. (2026b). Cross-quire lexical clustering in the Voynich Manuscript: Statistical codicology of production units.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Working paper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Church, K. W. and Hanks, P. (1990). Word association norms, mutual information, and lexicography.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Computational Linguistics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16(1), 22–29.</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Clemens, R. and Graham, T. (2007).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Introduction to Manuscript Studies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Ithaca, NY: Cornell University Press.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 T. M. and Thomas, J. A. (2006).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Elements of Information Theory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2nd ed. Hoboken, NJ: Wiley.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Currier, P. (1976). Papers on the Voynich Manuscript.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New Research on the Voynich Manuscript: Proceedings of a Seminar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Washington, D.C.</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d’Imperio, M. E. (1978).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Voynich Manuscript: An Elegant Enigma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Fort Meade, MD: National Security Agency.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Efron, B. and Tibshirani, R. J. (1993).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 Introduction to the Bootstrap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Boca Raton, FL: Chapman &amp; Hall/CRC.</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Fagin Davis, L. (2020). How many scribes? A paleographic assessment of the Voynich Manuscript.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Yale University Library Gazette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Occasional Paper.</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Greshko, M. A. (2025). The Naibbe cipher: A substitution cipher that encrypts Latin and Italian as Voynich Manuscript-like ciphertext.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Cryptologia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https://doi.org/10.1080/01611194.2024.2447653</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Hodgins, G. (2012). Measuring the age of the Voynich Manuscript. Presentation at the Voynich MS Centenary, Villa Mondragone, 11 May 2012.</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Landini, G. (2001). Evidence of linguistic structure in the Voynich Manuscript using spectral analysis.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Cryptologia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25(4), 275–295.</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Matlach, V., Janečková, B. A., and Dostál, D. (2022). The Voynich Manuscript: Symbol roles revisited.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17(1), e0260948.</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Montemurro, M. A. and Zanette, D. H. (2013). Keywords and co-occurrence patterns in the Voynich Manuscript: An information-theoretic analysis.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8(6), e66344.</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Piantadosi, S. T. (2014). Zipf’s word frequency law in natural language: A critical review and future directions.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Psychonomic Bulletin &amp;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21(5), 1112–1130.</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Reddy, S. and Knight, K. (2011). What we know about the Voynich Manuscript. In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Proceedings of the 5th ACL-HLT Workshop on Language Technology for Cultural Heritage, Social Sciences, and Humanities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78–86.</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Rugg, G. (2004). An elegant hoax? A possible solution to the Voynich Manuscript.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Cryptologia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28(1), 31–46.</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Schinner, A. (2007). The Voynich Manuscript: Evidence of the hoax hypothesis.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Cryptologia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31(2), 95–107.</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Shannon, C. E. (1948). A mathematical theory of communication.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Bell System Technical Journal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27(3), 379–423.</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Stolfi, J. (2005). Voynich Manuscript word structure analysis.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Online manuscript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Tiltman, J. (1967). The Voynich Manuscript: The most mysterious manuscript in the world.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NSA Technical Journal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12(3), 41–85.</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Timm, T. and Schinner, A. (2020). A possible linguistic classification of the Voynich Manuscript.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Cryptologia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44(3), 216–230.</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Tucker, A. and Janick, J. (2016). Identification of phytomorphs in the Voynich Codex.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Horticultural Reviews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44, 1–64.</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Zandbergen, R. (2024). Voynich Manuscript transcription and analysis.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Online resource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http://voynich.nu</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Zipf, G. K. (1949).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Human Behavior and the Principle of Least Effort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Cambridge, MA: Addison-Wesley.</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