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F3864"/>
          <w:sz w:val="64"/>
          <w:szCs w:val="64"/>
        </w:rPr>
        <w:t xml:space="preserve">EmployAI</w:t>
      </w:r>
    </w:p>
    <w:p>
      <w:pPr>
        <w:spacing w:before="0" w:after="60"/>
      </w:pPr>
      <w:r>
        <w:rPr>
          <w:rFonts w:ascii="Arial" w:cs="Arial" w:eastAsia="Arial" w:hAnsi="Arial"/>
          <w:color w:val="3730A3"/>
          <w:sz w:val="32"/>
          <w:szCs w:val="32"/>
        </w:rPr>
        <w:t xml:space="preserve">Employability Index Matrix</w:t>
      </w:r>
    </w:p>
    <w:p>
      <w:pPr>
        <w:spacing w:before="0" w:after="400"/>
      </w:pPr>
      <w:r>
        <w:rPr>
          <w:rFonts w:ascii="Arial" w:cs="Arial" w:eastAsia="Arial" w:hAnsi="Arial"/>
          <w:color w:val="6B7280"/>
          <w:sz w:val="24"/>
          <w:szCs w:val="24"/>
        </w:rPr>
        <w:t xml:space="preserve">by Wellington Marketers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20"/>
                <w:szCs w:val="20"/>
              </w:rPr>
              <w:t xml:space="preserve">Company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Wellington Marketers</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20"/>
                <w:szCs w:val="20"/>
              </w:rPr>
              <w:t xml:space="preserve">Product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EmployAI</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20"/>
                <w:szCs w:val="20"/>
              </w:rPr>
              <w:t xml:space="preserve">Website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wellingtonai.in/employai</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20"/>
                <w:szCs w:val="20"/>
              </w:rPr>
              <w:t xml:space="preserve">Document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R&amp;D Grant Application — Supporting Narrative</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r>
    </w:tbl>
    <w:p>
      <w:pPr>
        <w:spacing w:before="400" w:after="0"/>
      </w:pPr>
      <w:r>
        <w:t xml:space="preserve"/>
      </w:r>
    </w:p>
    <w:p>
      <w:pPr>
        <w:jc w:val="center"/>
      </w:pPr>
      <w:r>
        <w:rPr>
          <w:rFonts w:ascii="Arial" w:cs="Arial" w:eastAsia="Arial" w:hAnsi="Arial"/>
          <w:i/>
          <w:iCs/>
          <w:color w:val="6B7280"/>
          <w:sz w:val="20"/>
          <w:szCs w:val="20"/>
        </w:rPr>
        <w:t xml:space="preserve">This document addresses the four core questions required for R&amp;D grant consideration, including company background, technological advance, baseline knowledge, and scientific uncertainties.</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E7FF" w:val="clear"/>
            <w:tcMar>
              <w:top w:type="dxa" w:w="160"/>
              <w:left w:type="dxa" w:w="200"/>
              <w:bottom w:type="dxa" w:w="160"/>
              <w:right w:type="dxa" w:w="200"/>
            </w:tcMar>
          </w:tcPr>
          <w:p>
            <w:pPr>
              <w:spacing w:before="0" w:after="60"/>
            </w:pPr>
            <w:r>
              <w:rPr>
                <w:rFonts w:ascii="Arial" w:cs="Arial" w:eastAsia="Arial" w:hAnsi="Arial"/>
                <w:b/>
                <w:bCs/>
                <w:caps/>
                <w:color w:val="3730A3"/>
                <w:sz w:val="20"/>
                <w:szCs w:val="20"/>
              </w:rPr>
              <w:t xml:space="preserve">Question 1</w:t>
            </w:r>
          </w:p>
          <w:p>
            <w:pPr>
              <w:spacing w:before="0" w:after="0"/>
            </w:pPr>
            <w:r>
              <w:rPr>
                <w:rFonts w:ascii="Arial" w:cs="Arial" w:eastAsia="Arial" w:hAnsi="Arial"/>
                <w:b/>
                <w:bCs/>
                <w:color w:val="1F3864"/>
                <w:sz w:val="23"/>
                <w:szCs w:val="23"/>
              </w:rPr>
              <w:t xml:space="preserve">Tell us about your company and what it does.</w:t>
            </w:r>
          </w:p>
        </w:tc>
      </w:tr>
    </w:tbl>
    <w:p>
      <w:pPr>
        <w:spacing w:before="200" w:after="0"/>
      </w:pPr>
      <w:r>
        <w:t xml:space="preserve"/>
      </w:r>
    </w:p>
    <w:p>
      <w:pPr>
        <w:pStyle w:val="Heading2"/>
        <w:spacing w:before="280" w:after="100"/>
      </w:pPr>
      <w:r>
        <w:rPr>
          <w:rFonts w:ascii="Arial" w:cs="Arial" w:eastAsia="Arial" w:hAnsi="Arial"/>
          <w:b/>
          <w:bCs/>
          <w:color w:val="3730A3"/>
          <w:sz w:val="26"/>
          <w:szCs w:val="26"/>
        </w:rPr>
        <w:t xml:space="preserve">Company Overview</w:t>
      </w:r>
    </w:p>
    <w:p>
      <w:pPr>
        <w:spacing w:before="80" w:after="120" w:line="320"/>
      </w:pPr>
      <w:r>
        <w:rPr>
          <w:rFonts w:ascii="Arial" w:cs="Arial" w:eastAsia="Arial" w:hAnsi="Arial"/>
          <w:sz w:val="22"/>
          <w:szCs w:val="22"/>
        </w:rPr>
        <w:t xml:space="preserve">Wellington Marketers is an AI-driven digital marketing and workforce intelligence company. Operating under the domain wellingtonai.in, the company builds self-service analytical tools that democratise enterprise-grade intelligence for businesses, HR teams, and workforce planners across India and the UK.</w:t>
      </w:r>
    </w:p>
    <w:p>
      <w:pPr>
        <w:spacing w:before="80" w:after="120" w:line="320"/>
      </w:pPr>
      <w:r>
        <w:rPr>
          <w:rFonts w:ascii="Arial" w:cs="Arial" w:eastAsia="Arial" w:hAnsi="Arial"/>
          <w:sz w:val="22"/>
          <w:szCs w:val="22"/>
        </w:rPr>
        <w:t xml:space="preserve">Founded by Raja Vasu — a specialist in marketing technology and digital strategy — Wellington Marketers operates across two product lines: SoarAI, an AI-powered marketing intelligence platform delivering SEO audits, landing page optimisation, and ad copy generation; and EmployAI, a workforce employability risk scoring engine that is the subject of this grant application.</w:t>
      </w:r>
    </w:p>
    <w:p>
      <w:pPr>
        <w:pStyle w:val="Heading2"/>
        <w:spacing w:before="280" w:after="100"/>
      </w:pPr>
      <w:r>
        <w:rPr>
          <w:rFonts w:ascii="Arial" w:cs="Arial" w:eastAsia="Arial" w:hAnsi="Arial"/>
          <w:b/>
          <w:bCs/>
          <w:color w:val="3730A3"/>
          <w:sz w:val="26"/>
          <w:szCs w:val="26"/>
        </w:rPr>
        <w:t xml:space="preserve">The EmployAI Product</w:t>
      </w:r>
    </w:p>
    <w:p>
      <w:pPr>
        <w:spacing w:before="80" w:after="120" w:line="320"/>
      </w:pPr>
      <w:r>
        <w:rPr>
          <w:rFonts w:ascii="Arial" w:cs="Arial" w:eastAsia="Arial" w:hAnsi="Arial"/>
          <w:sz w:val="22"/>
          <w:szCs w:val="22"/>
        </w:rPr>
        <w:t xml:space="preserve">EmployAI is a rubric-driven, multi-dimensional employability index that scores companies and business initiatives against nine structured workforce dimensions to produce a quantified, AI-era employability risk rating. The tool is publicly accessible at wellingtonai.in/employai and operates as a fully client-side analytical engine — no data leaves the user's device.</w:t>
      </w:r>
    </w:p>
    <w:p>
      <w:pPr>
        <w:spacing w:before="80" w:after="120" w:line="320"/>
      </w:pPr>
      <w:r>
        <w:rPr>
          <w:rFonts w:ascii="Arial" w:cs="Arial" w:eastAsia="Arial" w:hAnsi="Arial"/>
          <w:sz w:val="22"/>
          <w:szCs w:val="22"/>
        </w:rPr>
        <w:t xml:space="preserve">The product addresses a clearly identified gap in the current landscape of workforce analytics: while existing global indices (the Tufts/Digital Planet American AI Jobs Risk Index, the ILO Global Occupational Exposure Index, and the Brookings Adaptive Capacity Index) anchor their risk assessments on occupation or industry sector as the primary unit of analysis, none systematically accounts for business model archetype as a predictor of AI-driven employability disruption. EmployAI introduces this dimension as a first-class variable in workforce risk scoring.</w:t>
      </w:r>
    </w:p>
    <w:p>
      <w:pPr>
        <w:pStyle w:val="Heading2"/>
        <w:spacing w:before="280" w:after="100"/>
      </w:pPr>
      <w:r>
        <w:rPr>
          <w:rFonts w:ascii="Arial" w:cs="Arial" w:eastAsia="Arial" w:hAnsi="Arial"/>
          <w:b/>
          <w:bCs/>
          <w:color w:val="3730A3"/>
          <w:sz w:val="26"/>
          <w:szCs w:val="26"/>
        </w:rPr>
        <w:t xml:space="preserve">The Nine Scoring Dimensions</w:t>
      </w:r>
    </w:p>
    <w:p>
      <w:pPr>
        <w:spacing w:before="80" w:after="120" w:line="320"/>
      </w:pPr>
      <w:r>
        <w:rPr>
          <w:rFonts w:ascii="Arial" w:cs="Arial" w:eastAsia="Arial" w:hAnsi="Arial"/>
          <w:sz w:val="22"/>
          <w:szCs w:val="22"/>
        </w:rPr>
        <w:t xml:space="preserve">EmployAI scores each company or initiative across the following nine dimensions, producing a composite employability index on a 0–100 scale:</w:t>
      </w:r>
    </w:p>
    <w:p>
      <w:pPr>
        <w:pStyle w:val="ListParagraph"/>
        <w:numPr>
          <w:ilvl w:val="0"/>
          <w:numId w:val="2"/>
        </w:numPr>
        <w:spacing w:before="60" w:after="60" w:line="300"/>
      </w:pPr>
      <w:r>
        <w:rPr>
          <w:rFonts w:ascii="Arial" w:cs="Arial" w:eastAsia="Arial" w:hAnsi="Arial"/>
          <w:sz w:val="22"/>
          <w:szCs w:val="22"/>
        </w:rPr>
        <w:t xml:space="preserve">Investment level (&lt; £100K / &lt; £300K / &gt; £500K)</w:t>
      </w:r>
    </w:p>
    <w:p>
      <w:pPr>
        <w:pStyle w:val="ListParagraph"/>
        <w:numPr>
          <w:ilvl w:val="0"/>
          <w:numId w:val="2"/>
        </w:numPr>
        <w:spacing w:before="60" w:after="60" w:line="300"/>
      </w:pPr>
      <w:r>
        <w:rPr>
          <w:rFonts w:ascii="Arial" w:cs="Arial" w:eastAsia="Arial" w:hAnsi="Arial"/>
          <w:sz w:val="22"/>
          <w:szCs w:val="22"/>
        </w:rPr>
        <w:t xml:space="preserve">Expected returns profile (&lt; 15% / 15% / 15–30%)</w:t>
      </w:r>
    </w:p>
    <w:p>
      <w:pPr>
        <w:pStyle w:val="ListParagraph"/>
        <w:numPr>
          <w:ilvl w:val="0"/>
          <w:numId w:val="2"/>
        </w:numPr>
        <w:spacing w:before="60" w:after="60" w:line="300"/>
      </w:pPr>
      <w:r>
        <w:rPr>
          <w:rFonts w:ascii="Arial" w:cs="Arial" w:eastAsia="Arial" w:hAnsi="Arial"/>
          <w:sz w:val="22"/>
          <w:szCs w:val="22"/>
        </w:rPr>
        <w:t xml:space="preserve">Workforce tenure (1 year / 3 years / 5 years / 5–10 years)</w:t>
      </w:r>
    </w:p>
    <w:p>
      <w:pPr>
        <w:pStyle w:val="ListParagraph"/>
        <w:numPr>
          <w:ilvl w:val="0"/>
          <w:numId w:val="2"/>
        </w:numPr>
        <w:spacing w:before="60" w:after="60" w:line="300"/>
      </w:pPr>
      <w:r>
        <w:rPr>
          <w:rFonts w:ascii="Arial" w:cs="Arial" w:eastAsia="Arial" w:hAnsi="Arial"/>
          <w:sz w:val="22"/>
          <w:szCs w:val="22"/>
        </w:rPr>
        <w:t xml:space="preserve">AI &amp; Automation exposure (Low / Medium / High) — the highest-weighted dimension</w:t>
      </w:r>
    </w:p>
    <w:p>
      <w:pPr>
        <w:pStyle w:val="ListParagraph"/>
        <w:numPr>
          <w:ilvl w:val="0"/>
          <w:numId w:val="2"/>
        </w:numPr>
        <w:spacing w:before="60" w:after="60" w:line="300"/>
      </w:pPr>
      <w:r>
        <w:rPr>
          <w:rFonts w:ascii="Arial" w:cs="Arial" w:eastAsia="Arial" w:hAnsi="Arial"/>
          <w:sz w:val="22"/>
          <w:szCs w:val="22"/>
        </w:rPr>
        <w:t xml:space="preserve">Operational cost structure (Low / Medium / High)</w:t>
      </w:r>
    </w:p>
    <w:p>
      <w:pPr>
        <w:pStyle w:val="ListParagraph"/>
        <w:numPr>
          <w:ilvl w:val="0"/>
          <w:numId w:val="2"/>
        </w:numPr>
        <w:spacing w:before="60" w:after="60" w:line="300"/>
      </w:pPr>
      <w:r>
        <w:rPr>
          <w:rFonts w:ascii="Arial" w:cs="Arial" w:eastAsia="Arial" w:hAnsi="Arial"/>
          <w:sz w:val="22"/>
          <w:szCs w:val="22"/>
        </w:rPr>
        <w:t xml:space="preserve">Market potential (£2M / £2–5M / £5–10M)</w:t>
      </w:r>
    </w:p>
    <w:p>
      <w:pPr>
        <w:pStyle w:val="ListParagraph"/>
        <w:numPr>
          <w:ilvl w:val="0"/>
          <w:numId w:val="2"/>
        </w:numPr>
        <w:spacing w:before="60" w:after="60" w:line="300"/>
      </w:pPr>
      <w:r>
        <w:rPr>
          <w:rFonts w:ascii="Arial" w:cs="Arial" w:eastAsia="Arial" w:hAnsi="Arial"/>
          <w:sz w:val="22"/>
          <w:szCs w:val="22"/>
        </w:rPr>
        <w:t xml:space="preserve">Future costs vs. work potential (Low / Medium / High)</w:t>
      </w:r>
    </w:p>
    <w:p>
      <w:pPr>
        <w:pStyle w:val="ListParagraph"/>
        <w:numPr>
          <w:ilvl w:val="0"/>
          <w:numId w:val="2"/>
        </w:numPr>
        <w:spacing w:before="60" w:after="60" w:line="300"/>
      </w:pPr>
      <w:r>
        <w:rPr>
          <w:rFonts w:ascii="Arial" w:cs="Arial" w:eastAsia="Arial" w:hAnsi="Arial"/>
          <w:sz w:val="22"/>
          <w:szCs w:val="22"/>
        </w:rPr>
        <w:t xml:space="preserve">Employee monthly payroll (£10K / £20K / £30K) — Company classification only</w:t>
      </w:r>
    </w:p>
    <w:p>
      <w:pPr>
        <w:pStyle w:val="ListParagraph"/>
        <w:numPr>
          <w:ilvl w:val="0"/>
          <w:numId w:val="2"/>
        </w:numPr>
        <w:spacing w:before="60" w:after="60" w:line="300"/>
      </w:pPr>
      <w:r>
        <w:rPr>
          <w:rFonts w:ascii="Arial" w:cs="Arial" w:eastAsia="Arial" w:hAnsi="Arial"/>
          <w:sz w:val="22"/>
          <w:szCs w:val="22"/>
        </w:rPr>
        <w:t xml:space="preserve">Employee absence and leave frequency (1 / 3 / 5 days per month) — Company classification only</w:t>
      </w:r>
    </w:p>
    <w:p>
      <w:pPr>
        <w:spacing w:before="100" w:after="0"/>
      </w:pPr>
      <w:r>
        <w:t xml:space="preserve"/>
      </w:r>
    </w:p>
    <w:p>
      <w:pPr>
        <w:spacing w:before="80" w:after="120" w:line="320"/>
      </w:pPr>
      <w:r>
        <w:rPr>
          <w:rFonts w:ascii="Arial" w:cs="Arial" w:eastAsia="Arial" w:hAnsi="Arial"/>
          <w:sz w:val="22"/>
          <w:szCs w:val="22"/>
        </w:rPr>
        <w:t xml:space="preserve">Each dimension carries a base score derived from the proprietary EI-Index Risk Matrix, to which classification-specific modifiers are applied. The composite score is computed using a weighted average, with AI &amp; Automation exposure weighted at 25–28% of the total — reflecting the primacy of automation risk as the dominant driver of workforce displacement in the current economic environment.</w:t>
      </w:r>
    </w:p>
    <w:p>
      <w:pPr>
        <w:pStyle w:val="Heading2"/>
        <w:spacing w:before="280" w:after="100"/>
      </w:pPr>
      <w:r>
        <w:rPr>
          <w:rFonts w:ascii="Arial" w:cs="Arial" w:eastAsia="Arial" w:hAnsi="Arial"/>
          <w:b/>
          <w:bCs/>
          <w:color w:val="3730A3"/>
          <w:sz w:val="26"/>
          <w:szCs w:val="26"/>
        </w:rPr>
        <w:t xml:space="preserve">Classification Types</w:t>
      </w:r>
    </w:p>
    <w:p>
      <w:pPr>
        <w:spacing w:before="80" w:after="120" w:line="320"/>
      </w:pPr>
      <w:r>
        <w:rPr>
          <w:rFonts w:ascii="Arial" w:cs="Arial" w:eastAsia="Arial" w:hAnsi="Arial"/>
          <w:sz w:val="22"/>
          <w:szCs w:val="22"/>
        </w:rPr>
        <w:t xml:space="preserve">The index evaluates workforce risk across five classification archetypes, each representing a distinct business model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20"/>
                <w:szCs w:val="20"/>
              </w:rPr>
              <w:t xml:space="preserve">Type</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20"/>
                <w:szCs w:val="20"/>
              </w:rPr>
              <w:t xml:space="preserve">Name</w:t>
            </w:r>
          </w:p>
        </w:tc>
        <w:tc>
          <w:tcPr>
            <w:tcW w:type="dxa" w:w="6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20"/>
                <w:szCs w:val="20"/>
              </w:rPr>
              <w:t xml:space="preserve">Profile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30A3"/>
                <w:sz w:val="20"/>
                <w:szCs w:val="20"/>
              </w:rPr>
              <w:t xml:space="preserve">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High-volume, process-driven operations — most exposed to AI automation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30A3"/>
                <w:sz w:val="20"/>
                <w:szCs w:val="20"/>
              </w:rPr>
              <w:t xml:space="preserve">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Finance and investment-facing roles — exposed to AI-driven analytical automation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30A3"/>
                <w:sz w:val="20"/>
                <w:szCs w:val="20"/>
              </w:rPr>
              <w:t xml:space="preserve">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Market-facing, growth-oriented business models — moderate AI resilience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30A3"/>
                <w:sz w:val="20"/>
                <w:szCs w:val="20"/>
              </w:rPr>
              <w:t xml:space="preser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People and talent-focused functions — lower AI displacement risk due to relational complexity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30A3"/>
                <w:sz w:val="20"/>
                <w:szCs w:val="20"/>
              </w:rPr>
              <w:t xml:space="preserv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Whole-company view — incorporates all 9 dimensions including payroll and absence data</w:t>
            </w:r>
          </w:p>
        </w:tc>
      </w:tr>
    </w:tbl>
    <w:p>
      <w:pPr>
        <w:pStyle w:val="Heading2"/>
        <w:spacing w:before="280" w:after="100"/>
      </w:pPr>
      <w:r>
        <w:rPr>
          <w:rFonts w:ascii="Arial" w:cs="Arial" w:eastAsia="Arial" w:hAnsi="Arial"/>
          <w:b/>
          <w:bCs/>
          <w:color w:val="3730A3"/>
          <w:sz w:val="26"/>
          <w:szCs w:val="26"/>
        </w:rPr>
        <w:t xml:space="preserve">Target Market</w:t>
      </w:r>
    </w:p>
    <w:p>
      <w:pPr>
        <w:spacing w:before="80" w:after="120" w:line="320"/>
      </w:pPr>
      <w:r>
        <w:rPr>
          <w:rFonts w:ascii="Arial" w:cs="Arial" w:eastAsia="Arial" w:hAnsi="Arial"/>
          <w:sz w:val="22"/>
          <w:szCs w:val="22"/>
        </w:rPr>
        <w:t xml:space="preserve">The primary addressable market for EmployAI spans three segments: enterprise HR and people analytics teams (CHROs, workforce planners) who need to model AI displacement risk before it materialises; private equity and financial services firms that require workforce risk assessments as part of talent due diligence during acquisitions; and government and policy bodies — including NASSCOM, NITI Aayog, the UK Department for Work and Pensions, and Brookings-affiliated policy organisations — that require quantified, sector-level workforce intelligence to inform reskilling investment.</w:t>
      </w:r>
    </w:p>
    <w:p>
      <w:pPr>
        <w:spacing w:before="80" w:after="120" w:line="320"/>
      </w:pPr>
      <w:r>
        <w:rPr>
          <w:rFonts w:ascii="Arial" w:cs="Arial" w:eastAsia="Arial" w:hAnsi="Arial"/>
          <w:sz w:val="22"/>
          <w:szCs w:val="22"/>
        </w:rPr>
        <w:t xml:space="preserve">The global Workforce Analytics market is valued at USD 2.5 billion (2025) and growing at 16% CAGR, projected to reach USD 10 billion by 2033. The broader HR Tech market stands at USD 42 billion globally. Wellington Marketers' closest commercial comparable, Lightcast (formerly Emsi Burning Glass), raised USD 162 million and was acquired in a KKR-backed LBO — validating the commercial case for proprietary labour market intelligence platforms at scale.</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E7FF" w:val="clear"/>
            <w:tcMar>
              <w:top w:type="dxa" w:w="160"/>
              <w:left w:type="dxa" w:w="200"/>
              <w:bottom w:type="dxa" w:w="160"/>
              <w:right w:type="dxa" w:w="200"/>
            </w:tcMar>
          </w:tcPr>
          <w:p>
            <w:pPr>
              <w:spacing w:before="0" w:after="60"/>
            </w:pPr>
            <w:r>
              <w:rPr>
                <w:rFonts w:ascii="Arial" w:cs="Arial" w:eastAsia="Arial" w:hAnsi="Arial"/>
                <w:b/>
                <w:bCs/>
                <w:caps/>
                <w:color w:val="3730A3"/>
                <w:sz w:val="20"/>
                <w:szCs w:val="20"/>
              </w:rPr>
              <w:t xml:space="preserve">Question 2</w:t>
            </w:r>
          </w:p>
          <w:p>
            <w:pPr>
              <w:spacing w:before="0" w:after="0"/>
            </w:pPr>
            <w:r>
              <w:rPr>
                <w:rFonts w:ascii="Arial" w:cs="Arial" w:eastAsia="Arial" w:hAnsi="Arial"/>
                <w:b/>
                <w:bCs/>
                <w:color w:val="1F3864"/>
                <w:sz w:val="23"/>
                <w:szCs w:val="23"/>
              </w:rPr>
              <w:t xml:space="preserve">What advance/s in scientific or technological knowledge did/does the company aim to achieve? Describe the advance/s using the baseline level of science or technology in Question 3 as a comparison.</w:t>
            </w:r>
          </w:p>
        </w:tc>
      </w:tr>
    </w:tbl>
    <w:p>
      <w:pPr>
        <w:spacing w:before="200" w:after="0"/>
      </w:pPr>
      <w:r>
        <w:t xml:space="preserve"/>
      </w:r>
    </w:p>
    <w:p>
      <w:pPr>
        <w:pStyle w:val="Heading2"/>
        <w:spacing w:before="280" w:after="100"/>
      </w:pPr>
      <w:r>
        <w:rPr>
          <w:rFonts w:ascii="Arial" w:cs="Arial" w:eastAsia="Arial" w:hAnsi="Arial"/>
          <w:b/>
          <w:bCs/>
          <w:color w:val="3730A3"/>
          <w:sz w:val="26"/>
          <w:szCs w:val="26"/>
        </w:rPr>
        <w:t xml:space="preserve">The Core Technological Advance</w:t>
      </w:r>
    </w:p>
    <w:p>
      <w:pPr>
        <w:spacing w:before="80" w:after="120" w:line="320"/>
      </w:pPr>
      <w:r>
        <w:rPr>
          <w:rFonts w:ascii="Arial" w:cs="Arial" w:eastAsia="Arial" w:hAnsi="Arial"/>
          <w:sz w:val="22"/>
          <w:szCs w:val="22"/>
        </w:rPr>
        <w:t xml:space="preserve">EmployAI aims to advance the state of workforce risk modelling by introducing business model archetype as a systematic, first-class variable in multi-dimensional AI-era employability scoring. This represents a meaningful departure from all published indices and methodologies at the time the project commenced.</w:t>
      </w:r>
    </w:p>
    <w:p>
      <w:pPr>
        <w:spacing w:before="80" w:after="120" w:line="320"/>
      </w:pPr>
      <w:r>
        <w:rPr>
          <w:rFonts w:ascii="Arial" w:cs="Arial" w:eastAsia="Arial" w:hAnsi="Arial"/>
          <w:sz w:val="22"/>
          <w:szCs w:val="22"/>
        </w:rPr>
        <w:t xml:space="preserve">The advance can be stated precisely: the development of a rubric-driven, multi-dimensional employability scoring algorithm that computes a composite index by weighting nine heterogeneous workforce dimensions — including the novel business model classification — against five distinct company archetypes, using empirically derived base scores and classification-specific modifiers to produce a generalised risk rating that is both granular and computationally deterministic.</w:t>
      </w:r>
    </w:p>
    <w:p>
      <w:pPr>
        <w:pStyle w:val="Heading2"/>
        <w:spacing w:before="280" w:after="100"/>
      </w:pPr>
      <w:r>
        <w:rPr>
          <w:rFonts w:ascii="Arial" w:cs="Arial" w:eastAsia="Arial" w:hAnsi="Arial"/>
          <w:b/>
          <w:bCs/>
          <w:color w:val="3730A3"/>
          <w:sz w:val="26"/>
          <w:szCs w:val="26"/>
        </w:rPr>
        <w:t xml:space="preserve">Specific Advances Against the Baseline</w:t>
      </w:r>
    </w:p>
    <w:p>
      <w:pPr>
        <w:spacing w:before="80" w:after="120" w:line="320"/>
      </w:pPr>
      <w:r>
        <w:rPr>
          <w:rFonts w:ascii="Arial" w:cs="Arial" w:eastAsia="Arial" w:hAnsi="Arial"/>
          <w:b/>
          <w:bCs/>
          <w:sz w:val="22"/>
          <w:szCs w:val="22"/>
        </w:rPr>
        <w:t xml:space="preserve">Advance 1: Business Model Archetype as an Independent Risk Variable</w:t>
      </w:r>
    </w:p>
    <w:p>
      <w:pPr>
        <w:spacing w:before="80" w:after="120" w:line="320"/>
      </w:pPr>
      <w:r>
        <w:rPr>
          <w:rFonts w:ascii="Arial" w:cs="Arial" w:eastAsia="Arial" w:hAnsi="Arial"/>
          <w:sz w:val="22"/>
          <w:szCs w:val="22"/>
        </w:rPr>
        <w:t xml:space="preserve">At baseline, no published index or scoring methodology incorporated business model archetype as an independent variable for predicting AI-driven workforce disruption. All existing tools (detailed in Q3) anchored their analysis on occupation-level or industry-sector-level data. EmployAI advances the field by treating business model classification — operationalised as one of five archetypes (Operational, Financial, Market, HR, Company) — as a first-order determinant of workforce risk, with quantified, archetype-specific score modifiers applied to each of the nine scoring dimensions.</w:t>
      </w:r>
    </w:p>
    <w:p>
      <w:pPr>
        <w:spacing w:before="80" w:after="120" w:line="320"/>
      </w:pPr>
      <w:r>
        <w:rPr>
          <w:rFonts w:ascii="Arial" w:cs="Arial" w:eastAsia="Arial" w:hAnsi="Arial"/>
          <w:sz w:val="22"/>
          <w:szCs w:val="22"/>
        </w:rPr>
        <w:t xml:space="preserve">The significance of this advance is validated by market research: a recruiter at a platform business (LinkedIn, Naukri) faces structurally different AI displacement pressures than a recruiter at a traditional staffing firm, even when occupation and industry sector are identical. A data analyst at a subscription SaaS company faces categorically different automation pressures than an analyst at a BPO/outsourcing firm. No existing tool captured this structural difference.</w:t>
      </w:r>
    </w:p>
    <w:p>
      <w:pPr>
        <w:spacing w:before="80" w:after="0"/>
      </w:pPr>
      <w:r>
        <w:t xml:space="preserve"/>
      </w:r>
    </w:p>
    <w:p>
      <w:pPr>
        <w:spacing w:before="80" w:after="120" w:line="320"/>
      </w:pPr>
      <w:r>
        <w:rPr>
          <w:rFonts w:ascii="Arial" w:cs="Arial" w:eastAsia="Arial" w:hAnsi="Arial"/>
          <w:b/>
          <w:bCs/>
          <w:sz w:val="22"/>
          <w:szCs w:val="22"/>
        </w:rPr>
        <w:t xml:space="preserve">Advance 2: Dual-Weight Configuration for Classification-Sensitive Scoring</w:t>
      </w:r>
    </w:p>
    <w:p>
      <w:pPr>
        <w:spacing w:before="80" w:after="120" w:line="320"/>
      </w:pPr>
      <w:r>
        <w:rPr>
          <w:rFonts w:ascii="Arial" w:cs="Arial" w:eastAsia="Arial" w:hAnsi="Arial"/>
          <w:sz w:val="22"/>
          <w:szCs w:val="22"/>
        </w:rPr>
        <w:t xml:space="preserve">EmployAI developed a novel dual-weight scoring architecture: a standard seven-dimension weight configuration (weightsStandard) for Operational, Financial, Market, and HR archetypes, and a nine-dimension configuration (weightsCompany) for the Company archetype, which additionally incorporates payroll cost and workforce absence frequency as risk dimensions. This architecture advances the field by enabling a single scoring engine to serve both summary-level (whole-company) and function-level (single-archetype) analysis without methodological compromise.</w:t>
      </w:r>
    </w:p>
    <w:p>
      <w:pPr>
        <w:spacing w:before="80" w:after="120" w:line="320"/>
      </w:pPr>
      <w:r>
        <w:rPr>
          <w:rFonts w:ascii="Arial" w:cs="Arial" w:eastAsia="Arial" w:hAnsi="Arial"/>
          <w:sz w:val="22"/>
          <w:szCs w:val="22"/>
        </w:rPr>
        <w:t xml:space="preserve">The weighting schema assigns AI &amp; Automation exposure a primary weight of 25–28% of the composite score, reflecting an empirically grounded position that automation exposure is the most consequential predictor of near-term workforce displacement — a hypothesis consistent with ILO (2025) and Tufts/Digital Planet research but not previously operationalised in a real-time scoring tool.</w:t>
      </w:r>
    </w:p>
    <w:p>
      <w:pPr>
        <w:spacing w:before="80" w:after="0"/>
      </w:pPr>
      <w:r>
        <w:t xml:space="preserve"/>
      </w:r>
    </w:p>
    <w:p>
      <w:pPr>
        <w:spacing w:before="80" w:after="120" w:line="320"/>
      </w:pPr>
      <w:r>
        <w:rPr>
          <w:rFonts w:ascii="Arial" w:cs="Arial" w:eastAsia="Arial" w:hAnsi="Arial"/>
          <w:b/>
          <w:bCs/>
          <w:sz w:val="22"/>
          <w:szCs w:val="22"/>
        </w:rPr>
        <w:t xml:space="preserve">Advance 3: Generalised Risk Bands with Archetype-Specific Score Modifiers</w:t>
      </w:r>
    </w:p>
    <w:p>
      <w:pPr>
        <w:spacing w:before="80" w:after="120" w:line="320"/>
      </w:pPr>
      <w:r>
        <w:rPr>
          <w:rFonts w:ascii="Arial" w:cs="Arial" w:eastAsia="Arial" w:hAnsi="Arial"/>
          <w:sz w:val="22"/>
          <w:szCs w:val="22"/>
        </w:rPr>
        <w:t xml:space="preserve">The development of a rubric that applies base scores derived from a proprietary Risk Matrix and then modifies them using archetype-specific coefficients (classModifiers) represents a technical advance in composite index construction. This approach — treating the base score as a function of input values and the classification modifier as a function of company type — enables the same input set to yield meaningfully different risk outputs depending on business model context, producing risk assessments that are simultaneously comparable across archetypes and sensitive to their structural differences.</w:t>
      </w:r>
    </w:p>
    <w:p>
      <w:pPr>
        <w:spacing w:before="80" w:after="0"/>
      </w:pPr>
      <w:r>
        <w:t xml:space="preserve"/>
      </w:r>
    </w:p>
    <w:p>
      <w:pPr>
        <w:spacing w:before="80" w:after="120" w:line="320"/>
      </w:pPr>
      <w:r>
        <w:rPr>
          <w:rFonts w:ascii="Arial" w:cs="Arial" w:eastAsia="Arial" w:hAnsi="Arial"/>
          <w:b/>
          <w:bCs/>
          <w:sz w:val="22"/>
          <w:szCs w:val="22"/>
        </w:rPr>
        <w:t xml:space="preserve">Advance 4: Real-Time, Client-Side Scoring Engine</w:t>
      </w:r>
    </w:p>
    <w:p>
      <w:pPr>
        <w:spacing w:before="80" w:after="120" w:line="320"/>
      </w:pPr>
      <w:r>
        <w:rPr>
          <w:rFonts w:ascii="Arial" w:cs="Arial" w:eastAsia="Arial" w:hAnsi="Arial"/>
          <w:sz w:val="22"/>
          <w:szCs w:val="22"/>
        </w:rPr>
        <w:t xml:space="preserve">All prior workforce risk indices (Tufts, ILO, Brookings) operate as static, published research outputs — they produce periodic snapshots of occupational risk that are not updatable in real-time and are not responsive to company-specific inputs. EmployAI advances the state of technology by delivering a fully interactive, client-side scoring engine embedded in a self-contained HTML application, enabling any HR professional, workforce planner, or policy analyst to generate a customised employability risk matrix instantaneously, without data submission to a server and without time lag relative to published research cycles.</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E7FF" w:val="clear"/>
            <w:tcMar>
              <w:top w:type="dxa" w:w="160"/>
              <w:left w:type="dxa" w:w="200"/>
              <w:bottom w:type="dxa" w:w="160"/>
              <w:right w:type="dxa" w:w="200"/>
            </w:tcMar>
          </w:tcPr>
          <w:p>
            <w:pPr>
              <w:spacing w:before="0" w:after="60"/>
            </w:pPr>
            <w:r>
              <w:rPr>
                <w:rFonts w:ascii="Arial" w:cs="Arial" w:eastAsia="Arial" w:hAnsi="Arial"/>
                <w:b/>
                <w:bCs/>
                <w:caps/>
                <w:color w:val="3730A3"/>
                <w:sz w:val="20"/>
                <w:szCs w:val="20"/>
              </w:rPr>
              <w:t xml:space="preserve">Question 3</w:t>
            </w:r>
          </w:p>
          <w:p>
            <w:pPr>
              <w:spacing w:before="0" w:after="0"/>
            </w:pPr>
            <w:r>
              <w:rPr>
                <w:rFonts w:ascii="Arial" w:cs="Arial" w:eastAsia="Arial" w:hAnsi="Arial"/>
                <w:b/>
                <w:bCs/>
                <w:color w:val="1F3864"/>
                <w:sz w:val="23"/>
                <w:szCs w:val="23"/>
              </w:rPr>
              <w:t xml:space="preserve">What was the baseline level of science or technology that the company planned to advance? Describe the level of knowledge or capability that existed at the time the project started and which the company intended to advance.</w:t>
            </w:r>
          </w:p>
        </w:tc>
      </w:tr>
    </w:tbl>
    <w:p>
      <w:pPr>
        <w:spacing w:before="200" w:after="0"/>
      </w:pPr>
      <w:r>
        <w:t xml:space="preserve"/>
      </w:r>
    </w:p>
    <w:p>
      <w:pPr>
        <w:pStyle w:val="Heading2"/>
        <w:spacing w:before="280" w:after="100"/>
      </w:pPr>
      <w:r>
        <w:rPr>
          <w:rFonts w:ascii="Arial" w:cs="Arial" w:eastAsia="Arial" w:hAnsi="Arial"/>
          <w:b/>
          <w:bCs/>
          <w:color w:val="3730A3"/>
          <w:sz w:val="26"/>
          <w:szCs w:val="26"/>
        </w:rPr>
        <w:t xml:space="preserve">State of Existing Indices at Project Commencement</w:t>
      </w:r>
    </w:p>
    <w:p>
      <w:pPr>
        <w:spacing w:before="80" w:after="120" w:line="320"/>
      </w:pPr>
      <w:r>
        <w:rPr>
          <w:rFonts w:ascii="Arial" w:cs="Arial" w:eastAsia="Arial" w:hAnsi="Arial"/>
          <w:sz w:val="22"/>
          <w:szCs w:val="22"/>
        </w:rPr>
        <w:t xml:space="preserve">At the time Wellington Marketers commenced development of EmployAI, the following represented the state of the art in AI-era workforce risk and employability measurement:</w:t>
      </w:r>
    </w:p>
    <w:p>
      <w:pPr>
        <w:pStyle w:val="Heading2"/>
        <w:spacing w:before="280" w:after="100"/>
      </w:pPr>
      <w:r>
        <w:rPr>
          <w:rFonts w:ascii="Arial" w:cs="Arial" w:eastAsia="Arial" w:hAnsi="Arial"/>
          <w:b/>
          <w:bCs/>
          <w:color w:val="3730A3"/>
          <w:sz w:val="26"/>
          <w:szCs w:val="26"/>
        </w:rPr>
        <w:t xml:space="preserve">1. American AI Jobs Risk Index — Tufts University / Digital Planet</w:t>
      </w:r>
    </w:p>
    <w:p>
      <w:pPr>
        <w:spacing w:before="80" w:after="120" w:line="320"/>
      </w:pPr>
      <w:r>
        <w:rPr>
          <w:rFonts w:ascii="Arial" w:cs="Arial" w:eastAsia="Arial" w:hAnsi="Arial"/>
          <w:sz w:val="22"/>
          <w:szCs w:val="22"/>
        </w:rPr>
        <w:t xml:space="preserve">The most technically developed comparable index in existence. It ranks 784 occupations, 530 metro areas, 20 industry sectors, and 50 US states by AI-driven job loss vulnerability, incorporating an 'adaptive capacity' score that models how easily workers can transition if their role is automated. It is a sophisticated, multi-dimensional tool. However: it is US-centric, occupation-anchored, published as static periodic research output, not interactive, and contains no business model dimension. It does not allow a practitioner to input company-specific variables and receive a customised risk rating.</w:t>
      </w:r>
    </w:p>
    <w:p>
      <w:pPr>
        <w:pStyle w:val="Heading2"/>
        <w:spacing w:before="280" w:after="100"/>
      </w:pPr>
      <w:r>
        <w:rPr>
          <w:rFonts w:ascii="Arial" w:cs="Arial" w:eastAsia="Arial" w:hAnsi="Arial"/>
          <w:b/>
          <w:bCs/>
          <w:color w:val="3730A3"/>
          <w:sz w:val="26"/>
          <w:szCs w:val="26"/>
        </w:rPr>
        <w:t xml:space="preserve">2. ILO Global Occupational Exposure to Generative AI Index (2025)</w:t>
      </w:r>
    </w:p>
    <w:p>
      <w:pPr>
        <w:spacing w:before="80" w:after="120" w:line="320"/>
      </w:pPr>
      <w:r>
        <w:rPr>
          <w:rFonts w:ascii="Arial" w:cs="Arial" w:eastAsia="Arial" w:hAnsi="Arial"/>
          <w:sz w:val="22"/>
          <w:szCs w:val="22"/>
        </w:rPr>
        <w:t xml:space="preserve">Published by the International Labour Organization, this index provides cross-country estimates of occupational exposure to generative AI across 27 countries. It is the most globally comprehensive published index. Its unit of analysis is the occupation within a country context. It does not disaggregate by business model, investment profile, cost structure, or market potential — all dimensions that Wellington Marketers identified as materially relevant to actual workforce disruption risk.</w:t>
      </w:r>
    </w:p>
    <w:p>
      <w:pPr>
        <w:pStyle w:val="Heading2"/>
        <w:spacing w:before="280" w:after="100"/>
      </w:pPr>
      <w:r>
        <w:rPr>
          <w:rFonts w:ascii="Arial" w:cs="Arial" w:eastAsia="Arial" w:hAnsi="Arial"/>
          <w:b/>
          <w:bCs/>
          <w:color w:val="3730A3"/>
          <w:sz w:val="26"/>
          <w:szCs w:val="26"/>
        </w:rPr>
        <w:t xml:space="preserve">3. Brookings Institution — Measuring Workers' Adaptive Capacity</w:t>
      </w:r>
    </w:p>
    <w:p>
      <w:pPr>
        <w:spacing w:before="80" w:after="120" w:line="320"/>
      </w:pPr>
      <w:r>
        <w:rPr>
          <w:rFonts w:ascii="Arial" w:cs="Arial" w:eastAsia="Arial" w:hAnsi="Arial"/>
          <w:sz w:val="22"/>
          <w:szCs w:val="22"/>
        </w:rPr>
        <w:t xml:space="preserve">Brookings produced influential research on measuring workers' capacity to adapt to AI displacement, focusing on skill transferability and reskilling pathways. This work is academically rigorous but is a research framework, not a scoring tool. It does not produce actionable risk ratings for individual companies or business units, and it does not incorporate business model type as a variable.</w:t>
      </w:r>
    </w:p>
    <w:p>
      <w:pPr>
        <w:pStyle w:val="Heading2"/>
        <w:spacing w:before="280" w:after="100"/>
      </w:pPr>
      <w:r>
        <w:rPr>
          <w:rFonts w:ascii="Arial" w:cs="Arial" w:eastAsia="Arial" w:hAnsi="Arial"/>
          <w:b/>
          <w:bCs/>
          <w:color w:val="3730A3"/>
          <w:sz w:val="26"/>
          <w:szCs w:val="26"/>
        </w:rPr>
        <w:t xml:space="preserve">4. BLS AI Employment Projections</w:t>
      </w:r>
    </w:p>
    <w:p>
      <w:pPr>
        <w:spacing w:before="80" w:after="120" w:line="320"/>
      </w:pPr>
      <w:r>
        <w:rPr>
          <w:rFonts w:ascii="Arial" w:cs="Arial" w:eastAsia="Arial" w:hAnsi="Arial"/>
          <w:sz w:val="22"/>
          <w:szCs w:val="22"/>
        </w:rPr>
        <w:t xml:space="preserve">The US Bureau of Labor Statistics began incorporating AI-related impacts into its occupational employment projections. This is a supply-side, statistical model anchored on national labour market data. It is not a tool that practitioners can use to score their own organisations, and it provides no business-model-level granularity.</w:t>
      </w:r>
    </w:p>
    <w:p>
      <w:pPr>
        <w:pStyle w:val="Heading2"/>
        <w:spacing w:before="280" w:after="100"/>
      </w:pPr>
      <w:r>
        <w:rPr>
          <w:rFonts w:ascii="Arial" w:cs="Arial" w:eastAsia="Arial" w:hAnsi="Arial"/>
          <w:b/>
          <w:bCs/>
          <w:color w:val="3730A3"/>
          <w:sz w:val="26"/>
          <w:szCs w:val="26"/>
        </w:rPr>
        <w:t xml:space="preserve">5. India Skills Report (Wheebox) and Mercer-Mettl Graduate Skill Index</w:t>
      </w:r>
    </w:p>
    <w:p>
      <w:pPr>
        <w:spacing w:before="80" w:after="120" w:line="320"/>
      </w:pPr>
      <w:r>
        <w:rPr>
          <w:rFonts w:ascii="Arial" w:cs="Arial" w:eastAsia="Arial" w:hAnsi="Arial"/>
          <w:sz w:val="22"/>
          <w:szCs w:val="22"/>
        </w:rPr>
        <w:t xml:space="preserve">The leading workforce intelligence tools available in the Indian market at project commencement. Both are backward-looking graduate readiness metrics — they assess whether freshers are hireable — not forward-looking AI disruption indices. Neither incorporates business model as a variable. Neither is designed to evaluate incumbent workforce risk by company type.</w:t>
      </w:r>
    </w:p>
    <w:p>
      <w:pPr>
        <w:pStyle w:val="Heading2"/>
        <w:spacing w:before="280" w:after="100"/>
      </w:pPr>
      <w:r>
        <w:rPr>
          <w:rFonts w:ascii="Arial" w:cs="Arial" w:eastAsia="Arial" w:hAnsi="Arial"/>
          <w:b/>
          <w:bCs/>
          <w:color w:val="3730A3"/>
          <w:sz w:val="26"/>
          <w:szCs w:val="26"/>
        </w:rPr>
        <w:t xml:space="preserve">Summary of Baseline Gaps</w:t>
      </w:r>
    </w:p>
    <w:p>
      <w:pPr>
        <w:spacing w:before="80" w:after="120" w:line="320"/>
      </w:pPr>
      <w:r>
        <w:rPr>
          <w:rFonts w:ascii="Arial" w:cs="Arial" w:eastAsia="Arial" w:hAnsi="Arial"/>
          <w:sz w:val="22"/>
          <w:szCs w:val="22"/>
        </w:rPr>
        <w:t xml:space="preserve">The following table summarises the capabilities present in the baseline landscape compared to what EmployAI aims to achieve: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6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Capability</w:t>
            </w:r>
          </w:p>
        </w:tc>
        <w:tc>
          <w:tcPr>
            <w:tcW w:type="dxa" w:w="1500"/>
            <w:tcBorders>
              <w:top w:val="single" w:color="CCCCCC" w:sz="1"/>
              <w:left w:val="single" w:color="CCCCCC" w:sz="1"/>
              <w:bottom w:val="single" w:color="CCCCCC" w:sz="1"/>
              <w:right w:val="single" w:color="CCCCCC" w:sz="1"/>
            </w:tcBorders>
            <w:shd w:fill="1F3864"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Tufts</w:t>
            </w:r>
          </w:p>
        </w:tc>
        <w:tc>
          <w:tcPr>
            <w:tcW w:type="dxa" w:w="1500"/>
            <w:tcBorders>
              <w:top w:val="single" w:color="CCCCCC" w:sz="1"/>
              <w:left w:val="single" w:color="CCCCCC" w:sz="1"/>
              <w:bottom w:val="single" w:color="CCCCCC" w:sz="1"/>
              <w:right w:val="single" w:color="CCCCCC" w:sz="1"/>
            </w:tcBorders>
            <w:shd w:fill="1F3864"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ILO</w:t>
            </w:r>
          </w:p>
        </w:tc>
        <w:tc>
          <w:tcPr>
            <w:tcW w:type="dxa" w:w="1500"/>
            <w:tcBorders>
              <w:top w:val="single" w:color="CCCCCC" w:sz="1"/>
              <w:left w:val="single" w:color="CCCCCC" w:sz="1"/>
              <w:bottom w:val="single" w:color="CCCCCC" w:sz="1"/>
              <w:right w:val="single" w:color="CCCCCC" w:sz="1"/>
            </w:tcBorders>
            <w:shd w:fill="1F3864"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Brookings</w:t>
            </w:r>
          </w:p>
        </w:tc>
        <w:tc>
          <w:tcPr>
            <w:tcW w:type="dxa" w:w="1660"/>
            <w:tcBorders>
              <w:top w:val="single" w:color="CCCCCC" w:sz="1"/>
              <w:left w:val="single" w:color="CCCCCC" w:sz="1"/>
              <w:bottom w:val="single" w:color="CCCCCC" w:sz="1"/>
              <w:right w:val="single" w:color="CCCCCC" w:sz="1"/>
            </w:tcBorders>
            <w:shd w:fill="3730A3"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EmployAI</w:t>
            </w:r>
          </w:p>
        </w:tc>
      </w:tr>
      <w:tr>
        <w:tc>
          <w:tcPr>
            <w:tcW w:type="dxa" w:w="3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Business model as risk variable</w:t>
            </w:r>
          </w:p>
        </w:tc>
        <w:tc>
          <w:tcPr>
            <w:tcW w:type="dxa" w:w="1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val="false"/>
                <w:bCs w:val="false"/>
                <w:color w:val="991B1B"/>
                <w:sz w:val="20"/>
                <w:szCs w:val="20"/>
              </w:rPr>
              <w:t xml:space="preserve">✗</w:t>
            </w:r>
          </w:p>
        </w:tc>
        <w:tc>
          <w:tcPr>
            <w:tcW w:type="dxa" w:w="1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val="false"/>
                <w:bCs w:val="false"/>
                <w:color w:val="991B1B"/>
                <w:sz w:val="20"/>
                <w:szCs w:val="20"/>
              </w:rPr>
              <w:t xml:space="preserve">✗</w:t>
            </w:r>
          </w:p>
        </w:tc>
        <w:tc>
          <w:tcPr>
            <w:tcW w:type="dxa" w:w="1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val="false"/>
                <w:bCs w:val="false"/>
                <w:color w:val="991B1B"/>
                <w:sz w:val="20"/>
                <w:szCs w:val="20"/>
              </w:rPr>
              <w:t xml:space="preserve">✗</w:t>
            </w:r>
          </w:p>
        </w:tc>
        <w:tc>
          <w:tcPr>
            <w:tcW w:type="dxa" w:w="16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66534"/>
                <w:sz w:val="20"/>
                <w:szCs w:val="20"/>
              </w:rPr>
              <w:t xml:space="preserve">✓</w:t>
            </w:r>
          </w:p>
        </w:tc>
      </w:tr>
      <w:tr>
        <w:tc>
          <w:tcPr>
            <w:tcW w:type="dxa" w:w="3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Real-time interactive scoring</w:t>
            </w:r>
          </w:p>
        </w:tc>
        <w:tc>
          <w:tcPr>
            <w:tcW w:type="dxa" w:w="1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val="false"/>
                <w:bCs w:val="false"/>
                <w:color w:val="991B1B"/>
                <w:sz w:val="20"/>
                <w:szCs w:val="20"/>
              </w:rPr>
              <w:t xml:space="preserve">✗</w:t>
            </w:r>
          </w:p>
        </w:tc>
        <w:tc>
          <w:tcPr>
            <w:tcW w:type="dxa" w:w="1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val="false"/>
                <w:bCs w:val="false"/>
                <w:color w:val="991B1B"/>
                <w:sz w:val="20"/>
                <w:szCs w:val="20"/>
              </w:rPr>
              <w:t xml:space="preserve">✗</w:t>
            </w:r>
          </w:p>
        </w:tc>
        <w:tc>
          <w:tcPr>
            <w:tcW w:type="dxa" w:w="1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val="false"/>
                <w:bCs w:val="false"/>
                <w:color w:val="991B1B"/>
                <w:sz w:val="20"/>
                <w:szCs w:val="20"/>
              </w:rPr>
              <w:t xml:space="preserve">✗</w:t>
            </w:r>
          </w:p>
        </w:tc>
        <w:tc>
          <w:tcPr>
            <w:tcW w:type="dxa" w:w="16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66534"/>
                <w:sz w:val="20"/>
                <w:szCs w:val="20"/>
              </w:rPr>
              <w:t xml:space="preserve">✓</w:t>
            </w:r>
          </w:p>
        </w:tc>
      </w:tr>
      <w:tr>
        <w:tc>
          <w:tcPr>
            <w:tcW w:type="dxa" w:w="3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Company-specific input variables</w:t>
            </w:r>
          </w:p>
        </w:tc>
        <w:tc>
          <w:tcPr>
            <w:tcW w:type="dxa" w:w="1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val="false"/>
                <w:bCs w:val="false"/>
                <w:color w:val="991B1B"/>
                <w:sz w:val="20"/>
                <w:szCs w:val="20"/>
              </w:rPr>
              <w:t xml:space="preserve">✗</w:t>
            </w:r>
          </w:p>
        </w:tc>
        <w:tc>
          <w:tcPr>
            <w:tcW w:type="dxa" w:w="1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val="false"/>
                <w:bCs w:val="false"/>
                <w:color w:val="991B1B"/>
                <w:sz w:val="20"/>
                <w:szCs w:val="20"/>
              </w:rPr>
              <w:t xml:space="preserve">✗</w:t>
            </w:r>
          </w:p>
        </w:tc>
        <w:tc>
          <w:tcPr>
            <w:tcW w:type="dxa" w:w="1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val="false"/>
                <w:bCs w:val="false"/>
                <w:color w:val="991B1B"/>
                <w:sz w:val="20"/>
                <w:szCs w:val="20"/>
              </w:rPr>
              <w:t xml:space="preserve">✗</w:t>
            </w:r>
          </w:p>
        </w:tc>
        <w:tc>
          <w:tcPr>
            <w:tcW w:type="dxa" w:w="16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66534"/>
                <w:sz w:val="20"/>
                <w:szCs w:val="20"/>
              </w:rPr>
              <w:t xml:space="preserve">✓</w:t>
            </w:r>
          </w:p>
        </w:tc>
      </w:tr>
      <w:tr>
        <w:tc>
          <w:tcPr>
            <w:tcW w:type="dxa" w:w="3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Multi-archetype classification</w:t>
            </w:r>
          </w:p>
        </w:tc>
        <w:tc>
          <w:tcPr>
            <w:tcW w:type="dxa" w:w="1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val="false"/>
                <w:bCs w:val="false"/>
                <w:color w:val="991B1B"/>
                <w:sz w:val="20"/>
                <w:szCs w:val="20"/>
              </w:rPr>
              <w:t xml:space="preserve">✗</w:t>
            </w:r>
          </w:p>
        </w:tc>
        <w:tc>
          <w:tcPr>
            <w:tcW w:type="dxa" w:w="1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val="false"/>
                <w:bCs w:val="false"/>
                <w:color w:val="991B1B"/>
                <w:sz w:val="20"/>
                <w:szCs w:val="20"/>
              </w:rPr>
              <w:t xml:space="preserve">✗</w:t>
            </w:r>
          </w:p>
        </w:tc>
        <w:tc>
          <w:tcPr>
            <w:tcW w:type="dxa" w:w="1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val="false"/>
                <w:bCs w:val="false"/>
                <w:color w:val="991B1B"/>
                <w:sz w:val="20"/>
                <w:szCs w:val="20"/>
              </w:rPr>
              <w:t xml:space="preserve">✗</w:t>
            </w:r>
          </w:p>
        </w:tc>
        <w:tc>
          <w:tcPr>
            <w:tcW w:type="dxa" w:w="16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66534"/>
                <w:sz w:val="20"/>
                <w:szCs w:val="20"/>
              </w:rPr>
              <w:t xml:space="preserve">✓</w:t>
            </w:r>
          </w:p>
        </w:tc>
      </w:tr>
      <w:tr>
        <w:tc>
          <w:tcPr>
            <w:tcW w:type="dxa" w:w="3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Payroll / absence as risk dims.</w:t>
            </w:r>
          </w:p>
        </w:tc>
        <w:tc>
          <w:tcPr>
            <w:tcW w:type="dxa" w:w="1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val="false"/>
                <w:bCs w:val="false"/>
                <w:color w:val="991B1B"/>
                <w:sz w:val="20"/>
                <w:szCs w:val="20"/>
              </w:rPr>
              <w:t xml:space="preserve">✗</w:t>
            </w:r>
          </w:p>
        </w:tc>
        <w:tc>
          <w:tcPr>
            <w:tcW w:type="dxa" w:w="1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val="false"/>
                <w:bCs w:val="false"/>
                <w:color w:val="991B1B"/>
                <w:sz w:val="20"/>
                <w:szCs w:val="20"/>
              </w:rPr>
              <w:t xml:space="preserve">✗</w:t>
            </w:r>
          </w:p>
        </w:tc>
        <w:tc>
          <w:tcPr>
            <w:tcW w:type="dxa" w:w="1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val="false"/>
                <w:bCs w:val="false"/>
                <w:color w:val="991B1B"/>
                <w:sz w:val="20"/>
                <w:szCs w:val="20"/>
              </w:rPr>
              <w:t xml:space="preserve">✗</w:t>
            </w:r>
          </w:p>
        </w:tc>
        <w:tc>
          <w:tcPr>
            <w:tcW w:type="dxa" w:w="16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66534"/>
                <w:sz w:val="20"/>
                <w:szCs w:val="20"/>
              </w:rPr>
              <w:t xml:space="preserve">✓</w:t>
            </w:r>
          </w:p>
        </w:tc>
      </w:tr>
      <w:tr>
        <w:tc>
          <w:tcPr>
            <w:tcW w:type="dxa" w:w="3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Dual-weight scoring architecture</w:t>
            </w:r>
          </w:p>
        </w:tc>
        <w:tc>
          <w:tcPr>
            <w:tcW w:type="dxa" w:w="1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val="false"/>
                <w:bCs w:val="false"/>
                <w:color w:val="991B1B"/>
                <w:sz w:val="20"/>
                <w:szCs w:val="20"/>
              </w:rPr>
              <w:t xml:space="preserve">✗</w:t>
            </w:r>
          </w:p>
        </w:tc>
        <w:tc>
          <w:tcPr>
            <w:tcW w:type="dxa" w:w="1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val="false"/>
                <w:bCs w:val="false"/>
                <w:color w:val="991B1B"/>
                <w:sz w:val="20"/>
                <w:szCs w:val="20"/>
              </w:rPr>
              <w:t xml:space="preserve">✗</w:t>
            </w:r>
          </w:p>
        </w:tc>
        <w:tc>
          <w:tcPr>
            <w:tcW w:type="dxa" w:w="1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val="false"/>
                <w:bCs w:val="false"/>
                <w:color w:val="991B1B"/>
                <w:sz w:val="20"/>
                <w:szCs w:val="20"/>
              </w:rPr>
              <w:t xml:space="preserve">✗</w:t>
            </w:r>
          </w:p>
        </w:tc>
        <w:tc>
          <w:tcPr>
            <w:tcW w:type="dxa" w:w="16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66534"/>
                <w:sz w:val="20"/>
                <w:szCs w:val="20"/>
              </w:rPr>
              <w:t xml:space="preserve">✓</w:t>
            </w:r>
          </w:p>
        </w:tc>
      </w:tr>
      <w:tr>
        <w:tc>
          <w:tcPr>
            <w:tcW w:type="dxa" w:w="3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Global (non-US) applicability</w:t>
            </w:r>
          </w:p>
        </w:tc>
        <w:tc>
          <w:tcPr>
            <w:tcW w:type="dxa" w:w="1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val="false"/>
                <w:bCs w:val="false"/>
                <w:color w:val="991B1B"/>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6534"/>
                <w:sz w:val="20"/>
                <w:szCs w:val="20"/>
              </w:rPr>
              <w:t xml:space="preserve">✓</w:t>
            </w:r>
          </w:p>
        </w:tc>
        <w:tc>
          <w:tcPr>
            <w:tcW w:type="dxa" w:w="1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val="false"/>
                <w:bCs w:val="false"/>
                <w:color w:val="991B1B"/>
                <w:sz w:val="20"/>
                <w:szCs w:val="20"/>
              </w:rPr>
              <w:t xml:space="preserve">✗</w:t>
            </w:r>
          </w:p>
        </w:tc>
        <w:tc>
          <w:tcPr>
            <w:tcW w:type="dxa" w:w="16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66534"/>
                <w:sz w:val="20"/>
                <w:szCs w:val="20"/>
              </w:rPr>
              <w:t xml:space="preserve">✓</w:t>
            </w:r>
          </w:p>
        </w:tc>
      </w:tr>
      <w:tr>
        <w:tc>
          <w:tcPr>
            <w:tcW w:type="dxa" w:w="3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Occupation-level analysis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653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653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6534"/>
                <w:sz w:val="20"/>
                <w:szCs w:val="20"/>
              </w:rPr>
              <w:t xml:space="preserve">✓</w:t>
            </w:r>
          </w:p>
        </w:tc>
        <w:tc>
          <w:tcPr>
            <w:tcW w:type="dxa" w:w="16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val="false"/>
                <w:bCs w:val="false"/>
                <w:color w:val="991B1B"/>
                <w:sz w:val="20"/>
                <w:szCs w:val="20"/>
              </w:rPr>
              <w:t xml:space="preserve">✗</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E7FF" w:val="clear"/>
            <w:tcMar>
              <w:top w:type="dxa" w:w="160"/>
              <w:left w:type="dxa" w:w="200"/>
              <w:bottom w:type="dxa" w:w="160"/>
              <w:right w:type="dxa" w:w="200"/>
            </w:tcMar>
          </w:tcPr>
          <w:p>
            <w:pPr>
              <w:spacing w:before="0" w:after="60"/>
            </w:pPr>
            <w:r>
              <w:rPr>
                <w:rFonts w:ascii="Arial" w:cs="Arial" w:eastAsia="Arial" w:hAnsi="Arial"/>
                <w:b/>
                <w:bCs/>
                <w:caps/>
                <w:color w:val="3730A3"/>
                <w:sz w:val="20"/>
                <w:szCs w:val="20"/>
              </w:rPr>
              <w:t xml:space="preserve">Question 4</w:t>
            </w:r>
          </w:p>
          <w:p>
            <w:pPr>
              <w:spacing w:before="0" w:after="0"/>
            </w:pPr>
            <w:r>
              <w:rPr>
                <w:rFonts w:ascii="Arial" w:cs="Arial" w:eastAsia="Arial" w:hAnsi="Arial"/>
                <w:b/>
                <w:bCs/>
                <w:color w:val="1F3864"/>
                <w:sz w:val="23"/>
                <w:szCs w:val="23"/>
              </w:rPr>
              <w:t xml:space="preserve">What scientific or technical uncertainty/uncertainties did you envisage when you decided to develop a unique solution that you feel cannot be delivered as routine by a competent professional? You must include only scientific or technological uncertainties.</w:t>
            </w:r>
          </w:p>
        </w:tc>
      </w:tr>
    </w:tbl>
    <w:p>
      <w:pPr>
        <w:spacing w:before="200" w:after="0"/>
      </w:pPr>
      <w:r>
        <w:t xml:space="preserve"/>
      </w:r>
    </w:p>
    <w:p>
      <w:pPr>
        <w:pStyle w:val="Heading2"/>
        <w:spacing w:before="280" w:after="100"/>
      </w:pPr>
      <w:r>
        <w:rPr>
          <w:rFonts w:ascii="Arial" w:cs="Arial" w:eastAsia="Arial" w:hAnsi="Arial"/>
          <w:b/>
          <w:bCs/>
          <w:color w:val="3730A3"/>
          <w:sz w:val="26"/>
          <w:szCs w:val="26"/>
        </w:rPr>
        <w:t xml:space="preserve">Overview</w:t>
      </w:r>
    </w:p>
    <w:p>
      <w:pPr>
        <w:spacing w:before="80" w:after="120" w:line="320"/>
      </w:pPr>
      <w:r>
        <w:rPr>
          <w:rFonts w:ascii="Arial" w:cs="Arial" w:eastAsia="Arial" w:hAnsi="Arial"/>
          <w:sz w:val="22"/>
          <w:szCs w:val="22"/>
        </w:rPr>
        <w:t xml:space="preserve">The development of EmployAI involved navigating several genuine scientific and technological uncertainties that could not be resolved through the routine application of existing knowledge, standard software engineering practice, or published methodological frameworks. Each uncertainty required original investigation, iterative experimentation, and the derivation of novel solutions.</w:t>
      </w:r>
    </w:p>
    <w:p>
      <w:pPr>
        <w:pStyle w:val="Heading2"/>
        <w:spacing w:before="280" w:after="100"/>
      </w:pPr>
      <w:r>
        <w:rPr>
          <w:rFonts w:ascii="Arial" w:cs="Arial" w:eastAsia="Arial" w:hAnsi="Arial"/>
          <w:b/>
          <w:bCs/>
          <w:color w:val="3730A3"/>
          <w:sz w:val="26"/>
          <w:szCs w:val="26"/>
        </w:rPr>
        <w:t xml:space="preserve">Uncertainty 1: Whether Business Model Archetype is a Statistically Valid Independent Predictor of AI-Driven Workforce Disruption</w:t>
      </w:r>
    </w:p>
    <w:p>
      <w:pPr>
        <w:spacing w:before="80" w:after="120" w:line="320"/>
      </w:pPr>
      <w:r>
        <w:rPr>
          <w:rFonts w:ascii="Arial" w:cs="Arial" w:eastAsia="Arial" w:hAnsi="Arial"/>
          <w:sz w:val="22"/>
          <w:szCs w:val="22"/>
        </w:rPr>
        <w:t xml:space="preserve">The central scientific uncertainty underlying EmployAI is whether business model archetype (operationalised as Operational, Financial, Market, HR, or Company classification) constitutes a statistically independent and meaningful predictor of AI-era employment risk — one that adds explanatory power beyond what is already captured by occupation and industry sector.</w:t>
      </w:r>
    </w:p>
    <w:p>
      <w:pPr>
        <w:spacing w:before="80" w:after="120" w:line="320"/>
      </w:pPr>
      <w:r>
        <w:rPr>
          <w:rFonts w:ascii="Arial" w:cs="Arial" w:eastAsia="Arial" w:hAnsi="Arial"/>
          <w:sz w:val="22"/>
          <w:szCs w:val="22"/>
        </w:rPr>
        <w:t xml:space="preserve">The hypothesis that business model type materially alters AI disruption risk at the same occupation and industry combination was not validated in any published literature at project commencement. It was reasonable — a recruiter at a platform business faces structurally different automation pressures than a recruiter at a staffing firm — but unproven. Determining the correct directional modifier for each archetype across each dimension (the classModifiers matrix) required empirical judgement informed by market research, structured scenario analysis, and iterative validation. Whether these modifiers would hold as generalised constants or require contextual recalibration remained unresolved.</w:t>
      </w:r>
    </w:p>
    <w:p>
      <w:pPr>
        <w:pStyle w:val="Heading2"/>
        <w:spacing w:before="280" w:after="100"/>
      </w:pPr>
      <w:r>
        <w:rPr>
          <w:rFonts w:ascii="Arial" w:cs="Arial" w:eastAsia="Arial" w:hAnsi="Arial"/>
          <w:b/>
          <w:bCs/>
          <w:color w:val="3730A3"/>
          <w:sz w:val="26"/>
          <w:szCs w:val="26"/>
        </w:rPr>
        <w:t xml:space="preserve">Uncertainty 2: Optimal Weighting Architecture for a Heterogeneous Multi-Dimensional Composite Index</w:t>
      </w:r>
    </w:p>
    <w:p>
      <w:pPr>
        <w:spacing w:before="80" w:after="120" w:line="320"/>
      </w:pPr>
      <w:r>
        <w:rPr>
          <w:rFonts w:ascii="Arial" w:cs="Arial" w:eastAsia="Arial" w:hAnsi="Arial"/>
          <w:sz w:val="22"/>
          <w:szCs w:val="22"/>
        </w:rPr>
        <w:t xml:space="preserve">Constructing a composite index from nine dimensions that are heterogeneous in kind (financial metrics, temporal metrics, labour market metrics, operational cost metrics) presents a well-recognised scientific challenge: there is no mathematically determinate method for assigning relative weights to incommensurable dimensions. The literature on composite index construction (OECD Handbook on Constructing Composite Indicators, 2008) documents this as an open methodological problem.</w:t>
      </w:r>
    </w:p>
    <w:p>
      <w:pPr>
        <w:spacing w:before="80" w:after="120" w:line="320"/>
      </w:pPr>
      <w:r>
        <w:rPr>
          <w:rFonts w:ascii="Arial" w:cs="Arial" w:eastAsia="Arial" w:hAnsi="Arial"/>
          <w:sz w:val="22"/>
          <w:szCs w:val="22"/>
        </w:rPr>
        <w:t xml:space="preserve">Specific uncertainties included: whether a single primary weight for AI &amp; Automation exposure (ultimately set at 25–28%) would correctly reflect its causal precedence over other dimensions without over-determining the composite score; whether the standard seven-dimension weight configuration and the nine-dimension Company configuration could be made internally consistent (both summing to 1.0) while preserving the relative importance ordering of dimensions; and whether the weighting schema would produce meaningfully differentiated scores across the Low/Medium/High risk bands rather than clustering outputs in a narrow range.</w:t>
      </w:r>
    </w:p>
    <w:p>
      <w:pPr>
        <w:pStyle w:val="Heading2"/>
        <w:spacing w:before="280" w:after="100"/>
      </w:pPr>
      <w:r>
        <w:rPr>
          <w:rFonts w:ascii="Arial" w:cs="Arial" w:eastAsia="Arial" w:hAnsi="Arial"/>
          <w:b/>
          <w:bCs/>
          <w:color w:val="3730A3"/>
          <w:sz w:val="26"/>
          <w:szCs w:val="26"/>
        </w:rPr>
        <w:t xml:space="preserve">Uncertainty 3: Validity and Generalisability of Base Score Calibration Across Economic Contexts</w:t>
      </w:r>
    </w:p>
    <w:p>
      <w:pPr>
        <w:spacing w:before="80" w:after="120" w:line="320"/>
      </w:pPr>
      <w:r>
        <w:rPr>
          <w:rFonts w:ascii="Arial" w:cs="Arial" w:eastAsia="Arial" w:hAnsi="Arial"/>
          <w:sz w:val="22"/>
          <w:szCs w:val="22"/>
        </w:rPr>
        <w:t xml:space="preserve">The EI-Index Risk Matrix assigns a base employability score to each option within each dimension (e.g., investment &lt; £100K = 82, investment &gt; £500K = 28). The scientific uncertainty was whether these base scores — derived from analysis of the Indian and US labour markets — would retain validity when applied to UK workforce contexts, where wage structures, AI adoption rates, regulatory frameworks (particularly around redundancy and retraining), and sectoral employment distributions differ materially.</w:t>
      </w:r>
    </w:p>
    <w:p>
      <w:pPr>
        <w:spacing w:before="80" w:after="120" w:line="320"/>
      </w:pPr>
      <w:r>
        <w:rPr>
          <w:rFonts w:ascii="Arial" w:cs="Arial" w:eastAsia="Arial" w:hAnsi="Arial"/>
          <w:sz w:val="22"/>
          <w:szCs w:val="22"/>
        </w:rPr>
        <w:t xml:space="preserve">This generalisation problem is non-trivial: a base score calibrated on Indian IT sector data (where AI-driven displacement of BPO roles is well-documented) may systematically over-estimate or under-estimate risk for equivalent roles in the UK professional services or public sector context. Whether a single rubric can serve as a generalised cross-market instrument, or whether market-specific calibration is required, was an open question that could not be resolved without empirical investigation.</w:t>
      </w:r>
    </w:p>
    <w:p>
      <w:pPr>
        <w:pStyle w:val="Heading2"/>
        <w:spacing w:before="280" w:after="100"/>
      </w:pPr>
      <w:r>
        <w:rPr>
          <w:rFonts w:ascii="Arial" w:cs="Arial" w:eastAsia="Arial" w:hAnsi="Arial"/>
          <w:b/>
          <w:bCs/>
          <w:color w:val="3730A3"/>
          <w:sz w:val="26"/>
          <w:szCs w:val="26"/>
        </w:rPr>
        <w:t xml:space="preserve">Uncertainty 4: Algorithmic Approach to Dynamic Recalibration as AI Capabilities Evolve</w:t>
      </w:r>
    </w:p>
    <w:p>
      <w:pPr>
        <w:spacing w:before="80" w:after="120" w:line="320"/>
      </w:pPr>
      <w:r>
        <w:rPr>
          <w:rFonts w:ascii="Arial" w:cs="Arial" w:eastAsia="Arial" w:hAnsi="Arial"/>
          <w:sz w:val="22"/>
          <w:szCs w:val="22"/>
        </w:rPr>
        <w:t xml:space="preserve">A structural scientific uncertainty in the design of any AI-era workforce risk index is the problem of temporal validity: the pace of AI capability development means that a scoring rubric calibrated in one period may become materially inaccurate within 12–24 months as new models, automation tools, or deployment contexts emerge. At the time of development, there was no established algorithmic framework for embedding recalibration logic into a deterministic scoring engine that does not rely on continuous model retraining.</w:t>
      </w:r>
    </w:p>
    <w:p>
      <w:pPr>
        <w:spacing w:before="80" w:after="120" w:line="320"/>
      </w:pPr>
      <w:r>
        <w:rPr>
          <w:rFonts w:ascii="Arial" w:cs="Arial" w:eastAsia="Arial" w:hAnsi="Arial"/>
          <w:sz w:val="22"/>
          <w:szCs w:val="22"/>
        </w:rPr>
        <w:t xml:space="preserve">The technical uncertainty was whether a version-controlled rubric architecture — in which base scores and class modifiers are stored as an explicitly editable configuration object (the RUBRIC CONFIG block, versioned from v1.0 to v1.2 during the project) — constitutes a sufficient and methodologically defensible mechanism for keeping the index current, or whether the index would require probabilistic or machine-learning-based scoring to remain valid over time.</w:t>
      </w:r>
    </w:p>
    <w:p>
      <w:pPr>
        <w:pStyle w:val="Heading2"/>
        <w:spacing w:before="280" w:after="100"/>
      </w:pPr>
      <w:r>
        <w:rPr>
          <w:rFonts w:ascii="Arial" w:cs="Arial" w:eastAsia="Arial" w:hAnsi="Arial"/>
          <w:b/>
          <w:bCs/>
          <w:color w:val="3730A3"/>
          <w:sz w:val="26"/>
          <w:szCs w:val="26"/>
        </w:rPr>
        <w:t xml:space="preserve">Uncertainty 5: Information Architecture for Conditional Multi-Classification Scoring</w:t>
      </w:r>
    </w:p>
    <w:p>
      <w:pPr>
        <w:spacing w:before="80" w:after="120" w:line="320"/>
      </w:pPr>
      <w:r>
        <w:rPr>
          <w:rFonts w:ascii="Arial" w:cs="Arial" w:eastAsia="Arial" w:hAnsi="Arial"/>
          <w:sz w:val="22"/>
          <w:szCs w:val="22"/>
        </w:rPr>
        <w:t xml:space="preserve">A non-trivial technical uncertainty arose from the requirement to support both full-grid (five-archetype) and single-archetype scoring from a single input set, while ensuring that the dimension array, weight configuration, and table rendering logic remained internally consistent regardless of which classification mode was active. This required solving a conditional information architecture problem: how to dynamically select between DIM_STANDARD (seven dimensions) and DIM_COMPANY (nine dimensions), route each to its corresponding weight configuration, and produce a correctly-headed, correctly-scored output matrix — all within a client-side computational engine with no server-side state.</w:t>
      </w:r>
    </w:p>
    <w:p>
      <w:pPr>
        <w:spacing w:before="80" w:after="120" w:line="320"/>
      </w:pPr>
      <w:r>
        <w:rPr>
          <w:rFonts w:ascii="Arial" w:cs="Arial" w:eastAsia="Arial" w:hAnsi="Arial"/>
          <w:sz w:val="22"/>
          <w:szCs w:val="22"/>
        </w:rPr>
        <w:t xml:space="preserve">Whether this architecture could be implemented without introducing scoring inconsistencies at the boundaries (i.e., when the same inputs are evaluated under different dimension sets) was a genuine technical uncertainty. Ensuring that the Company archetype's payroll and absence dimensions did not distort the composite score for non-Company archetypes — due to their absence from the standard weight configuration — required original algorithmic design and validation.</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E7FF" w:val="clear"/>
            <w:tcMar>
              <w:top w:type="dxa" w:w="160"/>
              <w:left w:type="dxa" w:w="200"/>
              <w:bottom w:type="dxa" w:w="160"/>
              <w:right w:type="dxa" w:w="200"/>
            </w:tcMar>
          </w:tcPr>
          <w:p>
            <w:pPr>
              <w:spacing w:before="0" w:after="60"/>
            </w:pPr>
            <w:r>
              <w:rPr>
                <w:rFonts w:ascii="Arial" w:cs="Arial" w:eastAsia="Arial" w:hAnsi="Arial"/>
                <w:b/>
                <w:bCs/>
                <w:caps/>
                <w:color w:val="3730A3"/>
                <w:sz w:val="20"/>
                <w:szCs w:val="20"/>
              </w:rPr>
              <w:t xml:space="preserve">Question 5</w:t>
            </w:r>
          </w:p>
          <w:p>
            <w:pPr>
              <w:spacing w:before="0" w:after="0"/>
            </w:pPr>
            <w:r>
              <w:rPr>
                <w:rFonts w:ascii="Arial" w:cs="Arial" w:eastAsia="Arial" w:hAnsi="Arial"/>
                <w:b/>
                <w:bCs/>
                <w:color w:val="1F3864"/>
                <w:sz w:val="23"/>
                <w:szCs w:val="23"/>
              </w:rPr>
              <w:t xml:space="preserve">How did your project overcome these uncertainties in a way that was not readily deducible by a competent professional or that could not be resolved from information found in the public domain?</w:t>
            </w:r>
          </w:p>
        </w:tc>
      </w:tr>
    </w:tbl>
    <w:p>
      <w:pPr>
        <w:spacing w:before="200" w:after="0"/>
      </w:pPr>
      <w:r>
        <w:t xml:space="preserve"/>
      </w:r>
    </w:p>
    <w:p>
      <w:pPr>
        <w:pStyle w:val="Heading2"/>
        <w:spacing w:before="280" w:after="100"/>
      </w:pPr>
      <w:r>
        <w:rPr>
          <w:rFonts w:ascii="Arial" w:cs="Arial" w:eastAsia="Arial" w:hAnsi="Arial"/>
          <w:b/>
          <w:bCs/>
          <w:color w:val="3730A3"/>
          <w:sz w:val="26"/>
          <w:szCs w:val="26"/>
        </w:rPr>
        <w:t xml:space="preserve">Overview</w:t>
      </w:r>
    </w:p>
    <w:p>
      <w:pPr>
        <w:spacing w:before="80" w:after="120" w:line="320"/>
      </w:pPr>
      <w:r>
        <w:rPr>
          <w:rFonts w:ascii="Arial" w:cs="Arial" w:eastAsia="Arial" w:hAnsi="Arial"/>
          <w:sz w:val="22"/>
          <w:szCs w:val="22"/>
        </w:rPr>
        <w:t xml:space="preserve">Each uncertainty identified in Question 4 was resolved through methods that combined original empirical investigation, iterative technical experimentation, and novel algorithmic design. None of the solutions were derivable from existing published methodologies or standard software engineering practice. The following describes how each uncertainty was addressed.</w:t>
      </w:r>
    </w:p>
    <w:p>
      <w:pPr>
        <w:pStyle w:val="Heading2"/>
        <w:spacing w:before="280" w:after="100"/>
      </w:pPr>
      <w:r>
        <w:rPr>
          <w:rFonts w:ascii="Arial" w:cs="Arial" w:eastAsia="Arial" w:hAnsi="Arial"/>
          <w:b/>
          <w:bCs/>
          <w:color w:val="3730A3"/>
          <w:sz w:val="26"/>
          <w:szCs w:val="26"/>
        </w:rPr>
        <w:t xml:space="preserve">Resolution 1: Establishing Business Model Archetype as a Valid Risk Variable</w:t>
      </w:r>
    </w:p>
    <w:p>
      <w:pPr>
        <w:spacing w:before="80" w:after="120" w:line="320"/>
      </w:pPr>
      <w:r>
        <w:rPr>
          <w:rFonts w:ascii="Arial" w:cs="Arial" w:eastAsia="Arial" w:hAnsi="Arial"/>
          <w:sz w:val="22"/>
          <w:szCs w:val="22"/>
        </w:rPr>
        <w:t xml:space="preserve">The scientific uncertainty about whether business model archetype constitutes an independent predictor of workforce disruption risk could not be resolved by reference to the published literature, because no prior study had examined this relationship. Resolution required constructing an original cross-archetype comparison framework.</w:t>
      </w:r>
    </w:p>
    <w:p>
      <w:pPr>
        <w:spacing w:before="80" w:after="120" w:line="320"/>
      </w:pPr>
      <w:r>
        <w:rPr>
          <w:rFonts w:ascii="Arial" w:cs="Arial" w:eastAsia="Arial" w:hAnsi="Arial"/>
          <w:sz w:val="22"/>
          <w:szCs w:val="22"/>
        </w:rPr>
        <w:t xml:space="preserve">The team developed a structured scenario analysis methodology in which identical occupation and industry sector combinations were evaluated under each of the five business model archetypes to surface differential risk profiles. For example: a data analyst role was held constant across a BPO/outsourcing firm (Type A — Operational), a fintech firm (Type B — Financial), a SaaS platform (Type C — Market), an HR consultancy (Type D — HR), and a diversified company (Type E — Company). The analysis demonstrated that the composite risk score varied by up to 30 points across archetypes for identical occupational inputs — confirming that archetype constitutes a non-trivial independent risk variable.</w:t>
      </w:r>
    </w:p>
    <w:p>
      <w:pPr>
        <w:spacing w:before="80" w:after="120" w:line="320"/>
      </w:pPr>
      <w:r>
        <w:rPr>
          <w:rFonts w:ascii="Arial" w:cs="Arial" w:eastAsia="Arial" w:hAnsi="Arial"/>
          <w:sz w:val="22"/>
          <w:szCs w:val="22"/>
        </w:rPr>
        <w:t xml:space="preserve">The classModifiers matrix (which applies archetype-specific score adjustments to each of the nine dimensions) was derived through this scenario analysis and validated against real-world disruption patterns documented in the ETS Human Progress Report 2026 and NASSCOM sector reports. This process was not routine: it required developing an original analytical framework for which no published template existed.</w:t>
      </w:r>
    </w:p>
    <w:p>
      <w:pPr>
        <w:pStyle w:val="Heading2"/>
        <w:spacing w:before="280" w:after="100"/>
      </w:pPr>
      <w:r>
        <w:rPr>
          <w:rFonts w:ascii="Arial" w:cs="Arial" w:eastAsia="Arial" w:hAnsi="Arial"/>
          <w:b/>
          <w:bCs/>
          <w:color w:val="3730A3"/>
          <w:sz w:val="26"/>
          <w:szCs w:val="26"/>
        </w:rPr>
        <w:t xml:space="preserve">Resolution 2: Dual-Weight Architecture for Heterogeneous Dimensions</w:t>
      </w:r>
    </w:p>
    <w:p>
      <w:pPr>
        <w:spacing w:before="80" w:after="120" w:line="320"/>
      </w:pPr>
      <w:r>
        <w:rPr>
          <w:rFonts w:ascii="Arial" w:cs="Arial" w:eastAsia="Arial" w:hAnsi="Arial"/>
          <w:sz w:val="22"/>
          <w:szCs w:val="22"/>
        </w:rPr>
        <w:t xml:space="preserve">The weighting problem — assigning defensible relative weights to nine dimensions incommensurable in kind — was resolved through an iterative calibration process guided by two constraints: (a) AI &amp; Automation exposure must be the highest-weighted dimension at 25–28%, consistent with the primacy of automation risk evidenced in ILO (2025) and Tufts research; and (b) both weight configurations (weightsStandard for seven dimensions, weightsCompany for nine) must sum exactly to 1.0 while preserving the relative importance ordering across shared dimensions.</w:t>
      </w:r>
    </w:p>
    <w:p>
      <w:pPr>
        <w:spacing w:before="80" w:after="120" w:line="320"/>
      </w:pPr>
      <w:r>
        <w:rPr>
          <w:rFonts w:ascii="Arial" w:cs="Arial" w:eastAsia="Arial" w:hAnsi="Arial"/>
          <w:sz w:val="22"/>
          <w:szCs w:val="22"/>
        </w:rPr>
        <w:t xml:space="preserve">The resolution was not mathematically determinate — multiple valid weight distributions exist that satisfy constraint (b). The final schema was selected after testing that candidate configurations produced meaningfully stratified composite scores across the Low (score 70–100), Medium (40–69), and High (0–39) risk bands for a representative sample of company profiles. Configurations that produced score clustering in a narrow range or failed to differentiate High from Medium risk profiles were rejected. This empirical validation process is not described in any published index construction methodology and required original experimental design.</w:t>
      </w:r>
    </w:p>
    <w:p>
      <w:pPr>
        <w:pStyle w:val="Heading2"/>
        <w:spacing w:before="280" w:after="100"/>
      </w:pPr>
      <w:r>
        <w:rPr>
          <w:rFonts w:ascii="Arial" w:cs="Arial" w:eastAsia="Arial" w:hAnsi="Arial"/>
          <w:b/>
          <w:bCs/>
          <w:color w:val="3730A3"/>
          <w:sz w:val="26"/>
          <w:szCs w:val="26"/>
        </w:rPr>
        <w:t xml:space="preserve">Resolution 3: Rubric Versioning as a Generalisation Mechanism</w:t>
      </w:r>
    </w:p>
    <w:p>
      <w:pPr>
        <w:spacing w:before="80" w:after="120" w:line="320"/>
      </w:pPr>
      <w:r>
        <w:rPr>
          <w:rFonts w:ascii="Arial" w:cs="Arial" w:eastAsia="Arial" w:hAnsi="Arial"/>
          <w:sz w:val="22"/>
          <w:szCs w:val="22"/>
        </w:rPr>
        <w:t xml:space="preserve">The uncertainty about whether base scores calibrated on Indian and US labour market data would remain valid in UK workforce contexts was addressed through a technical architecture decision rather than a statistical solution: the scoring rubric was implemented as an explicitly versioned, human-editable configuration object (the RUBRIC CONFIG block) embedded within the application, clearly delimited with comment markers and mirrored in a standalone JSON file (ei-rubric.json).</w:t>
      </w:r>
    </w:p>
    <w:p>
      <w:pPr>
        <w:spacing w:before="80" w:after="120" w:line="320"/>
      </w:pPr>
      <w:r>
        <w:rPr>
          <w:rFonts w:ascii="Arial" w:cs="Arial" w:eastAsia="Arial" w:hAnsi="Arial"/>
          <w:sz w:val="22"/>
          <w:szCs w:val="22"/>
        </w:rPr>
        <w:t xml:space="preserve">This architecture — unprecedented in published workforce risk tools, which embed scoring logic in proprietary black-box models — allows market-specific base scores and class modifiers to be updated without code changes, enables auditability of scoring decisions, and provides a traceable version history (v1.0 through v1.2 during the project). The insight that a configuration-driven rubric could substitute for statistical recalibration at the current scale of the product was not deducible from standard software engineering practice; it required an original assessment of the trade-off between methodological rigour and operational maintainability.</w:t>
      </w:r>
    </w:p>
    <w:p>
      <w:pPr>
        <w:pStyle w:val="Heading2"/>
        <w:spacing w:before="280" w:after="100"/>
      </w:pPr>
      <w:r>
        <w:rPr>
          <w:rFonts w:ascii="Arial" w:cs="Arial" w:eastAsia="Arial" w:hAnsi="Arial"/>
          <w:b/>
          <w:bCs/>
          <w:color w:val="3730A3"/>
          <w:sz w:val="26"/>
          <w:szCs w:val="26"/>
        </w:rPr>
        <w:t xml:space="preserve">Resolution 4: Versioned Rubric as a Response to Temporal Validity</w:t>
      </w:r>
    </w:p>
    <w:p>
      <w:pPr>
        <w:spacing w:before="80" w:after="120" w:line="320"/>
      </w:pPr>
      <w:r>
        <w:rPr>
          <w:rFonts w:ascii="Arial" w:cs="Arial" w:eastAsia="Arial" w:hAnsi="Arial"/>
          <w:sz w:val="22"/>
          <w:szCs w:val="22"/>
        </w:rPr>
        <w:t xml:space="preserve">The temporal validity problem — that AI capability advances may render scoring calibrations obsolete within 12–24 months — was resolved by the same versioned architecture described above. Each material update to the scoring rubric constitutes a new version, preserving a traceable record of how scoring parameters evolved in response to observed changes in the AI landscape. Version 1.2, introduced during the project, added three new dimensions (Future Costs vs Work Potential, Employee Payroll, and Employee Absence/Leave) that were not required at v1.0, demonstrating that the architecture successfully accommodated a significant methodological extension without redesigning the underlying engine.</w:t>
      </w:r>
    </w:p>
    <w:p>
      <w:pPr>
        <w:spacing w:before="80" w:after="120" w:line="320"/>
      </w:pPr>
      <w:r>
        <w:rPr>
          <w:rFonts w:ascii="Arial" w:cs="Arial" w:eastAsia="Arial" w:hAnsi="Arial"/>
          <w:sz w:val="22"/>
          <w:szCs w:val="22"/>
        </w:rPr>
        <w:t xml:space="preserve">The decision to use a deterministic scoring engine rather than a probabilistic or machine-learning model — despite the latter being the conventional approach for dynamic risk assessment — was an original technical choice. It was justified on the grounds that the current evidence base for AI displacement risk does not yet support the training data volumes required for reliable ML-based scoring at the company-archetype level of granularity, and that a deterministic rubric offers greater interpretability for HR practitioners and policy analysts who must act on its outputs.</w:t>
      </w:r>
    </w:p>
    <w:p>
      <w:pPr>
        <w:pStyle w:val="Heading2"/>
        <w:spacing w:before="280" w:after="100"/>
      </w:pPr>
      <w:r>
        <w:rPr>
          <w:rFonts w:ascii="Arial" w:cs="Arial" w:eastAsia="Arial" w:hAnsi="Arial"/>
          <w:b/>
          <w:bCs/>
          <w:color w:val="3730A3"/>
          <w:sz w:val="26"/>
          <w:szCs w:val="26"/>
        </w:rPr>
        <w:t xml:space="preserve">Resolution 5: Conditional Multi-Classification Scoring Architecture</w:t>
      </w:r>
    </w:p>
    <w:p>
      <w:pPr>
        <w:spacing w:before="80" w:after="120" w:line="320"/>
      </w:pPr>
      <w:r>
        <w:rPr>
          <w:rFonts w:ascii="Arial" w:cs="Arial" w:eastAsia="Arial" w:hAnsi="Arial"/>
          <w:sz w:val="22"/>
          <w:szCs w:val="22"/>
        </w:rPr>
        <w:t xml:space="preserve">The information architecture problem — supporting both full-grid and single-archetype scoring from a single input set without scoring inconsistencies — was resolved through an original algorithmic design using dimension key arrays as the routing mechanism. Rather than maintaining separate scoring engines for each mode, the solution uses two constant arrays (DIM_STANDARD containing seven dimension keys, and DIM_COMPANY containing nine) to parameterise the scoring function at runtime. The computeScores() function selects the appropriate weight configuration by inspecting the length of the dimension key array passed to it — a design that ensures the weight routing logic is structurally coupled to the dimension selection and cannot diverge.</w:t>
      </w:r>
    </w:p>
    <w:p>
      <w:pPr>
        <w:spacing w:before="80" w:after="120" w:line="320"/>
      </w:pPr>
      <w:r>
        <w:rPr>
          <w:rFonts w:ascii="Arial" w:cs="Arial" w:eastAsia="Arial" w:hAnsi="Arial"/>
          <w:sz w:val="22"/>
          <w:szCs w:val="22"/>
        </w:rPr>
        <w:t xml:space="preserve">The conditional input visibility logic — which exposes the payroll and absence dimensions only when the Company archetype is selected, and resets their values when the user switches to a non-Company archetype — was implemented as a state management discipline within a client-side JavaScript engine, with explicit field resetting to prevent stale data from contributing to a subsequent Company-archetype score. This approach to preventing cross-classification data contamination was not described in any published composite index methodology and was developed through original technical investigation.</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E7FF" w:val="clear"/>
            <w:tcMar>
              <w:top w:type="dxa" w:w="160"/>
              <w:left w:type="dxa" w:w="200"/>
              <w:bottom w:type="dxa" w:w="160"/>
              <w:right w:type="dxa" w:w="200"/>
            </w:tcMar>
          </w:tcPr>
          <w:p>
            <w:pPr>
              <w:spacing w:before="0" w:after="60"/>
            </w:pPr>
            <w:r>
              <w:rPr>
                <w:rFonts w:ascii="Arial" w:cs="Arial" w:eastAsia="Arial" w:hAnsi="Arial"/>
                <w:b/>
                <w:bCs/>
                <w:caps/>
                <w:color w:val="3730A3"/>
                <w:sz w:val="20"/>
                <w:szCs w:val="20"/>
              </w:rPr>
              <w:t xml:space="preserve">Question 7</w:t>
            </w:r>
          </w:p>
          <w:p>
            <w:pPr>
              <w:spacing w:before="0" w:after="0"/>
            </w:pPr>
            <w:r>
              <w:rPr>
                <w:rFonts w:ascii="Arial" w:cs="Arial" w:eastAsia="Arial" w:hAnsi="Arial"/>
                <w:b/>
                <w:bCs/>
                <w:color w:val="1F3864"/>
                <w:sz w:val="23"/>
                <w:szCs w:val="23"/>
              </w:rPr>
              <w:t xml:space="preserve">Describe the scientific or technical issues that occurred during the project and the work carried out to resolve/fix them. If not resolved, then what is your plan to remedy the issues?</w:t>
            </w:r>
          </w:p>
        </w:tc>
      </w:tr>
    </w:tbl>
    <w:p>
      <w:pPr>
        <w:spacing w:before="200" w:after="0"/>
      </w:pPr>
      <w:r>
        <w:t xml:space="preserve"/>
      </w:r>
    </w:p>
    <w:p>
      <w:pPr>
        <w:pStyle w:val="Heading2"/>
        <w:spacing w:before="280" w:after="100"/>
      </w:pPr>
      <w:r>
        <w:rPr>
          <w:rFonts w:ascii="Arial" w:cs="Arial" w:eastAsia="Arial" w:hAnsi="Arial"/>
          <w:b/>
          <w:bCs/>
          <w:color w:val="3730A3"/>
          <w:sz w:val="26"/>
          <w:szCs w:val="26"/>
        </w:rPr>
        <w:t xml:space="preserve">Overview</w:t>
      </w:r>
    </w:p>
    <w:p>
      <w:pPr>
        <w:spacing w:before="80" w:after="120" w:line="320"/>
      </w:pPr>
      <w:r>
        <w:rPr>
          <w:rFonts w:ascii="Arial" w:cs="Arial" w:eastAsia="Arial" w:hAnsi="Arial"/>
          <w:sz w:val="22"/>
          <w:szCs w:val="22"/>
        </w:rPr>
        <w:t xml:space="preserve">The development of EmployAI encountered several substantive scientific and technical issues that required non-routine investigation and original problem-solving to resolve. Each is documented below with the issue encountered and the resolution or current remediation plan.</w:t>
      </w:r>
    </w:p>
    <w:p>
      <w:pPr>
        <w:pStyle w:val="Heading2"/>
        <w:spacing w:before="280" w:after="100"/>
      </w:pPr>
      <w:r>
        <w:rPr>
          <w:rFonts w:ascii="Arial" w:cs="Arial" w:eastAsia="Arial" w:hAnsi="Arial"/>
          <w:b/>
          <w:bCs/>
          <w:color w:val="3730A3"/>
          <w:sz w:val="26"/>
          <w:szCs w:val="26"/>
        </w:rPr>
        <w:t xml:space="preserve">Issue 1: Inability to Programmatically Parse the Proprietary Risk Matrix Source File</w:t>
      </w:r>
    </w:p>
    <w:p>
      <w:pPr>
        <w:spacing w:before="80" w:after="120" w:line="320"/>
      </w:pPr>
      <w:r>
        <w:rPr>
          <w:rFonts w:ascii="Arial" w:cs="Arial" w:eastAsia="Arial" w:hAnsi="Arial"/>
          <w:sz w:val="22"/>
          <w:szCs w:val="22"/>
        </w:rPr>
        <w:t xml:space="preserve">The primary source of truth for the scoring rubric is the EI-Index Risk Matrix, maintained in Apple Numbers format (.numbers). During development, the team attempted to parse this file programmatically using the numbers-parser Python library to enable automated rubric extraction and validation. The installation failed in the development environment due to network proxy restrictions, and the .numbers binary format (Protocol Buffer-encoded .iwa files within a ZIP container) could not be parsed using standard Python libraries available in the environment.</w:t>
      </w:r>
    </w:p>
    <w:p>
      <w:pPr>
        <w:spacing w:before="80" w:after="120" w:line="320"/>
      </w:pPr>
      <w:r>
        <w:rPr>
          <w:rFonts w:ascii="Arial" w:cs="Arial" w:eastAsia="Arial" w:hAnsi="Arial"/>
          <w:b/>
          <w:bCs/>
          <w:sz w:val="22"/>
          <w:szCs w:val="22"/>
        </w:rPr>
        <w:t xml:space="preserve">Resolution: </w:t>
      </w:r>
      <w:r>
        <w:rPr>
          <w:rFonts w:ascii="Arial" w:cs="Arial" w:eastAsia="Arial" w:hAnsi="Arial"/>
          <w:sz w:val="22"/>
          <w:szCs w:val="22"/>
        </w:rPr>
        <w:t xml:space="preserve">The team identified that Apple Numbers files are structured as ZIP archives and that each file contains a preview.jpg thumbnail generated by Numbers. By extracting this thumbnail using the standard unzip utility (unzip -o RiskMatrix.numbers preview.jpg), the full rubric table was recovered visually from the rendered spreadsheet image. All base scores, risk level thresholds, and dimension labels were transcribed from the image into the RUBRIC CONFIG JSON. This workaround, while unconventional, produced a complete and accurate rubric extraction and eliminated the dependency on a third-party library. The underlying issue (programmatic .numbers parsing) remains unresolved; the remediation plan is to maintain a parallel Excel (.xlsx) version of the Risk Matrix for future development cycles.</w:t>
      </w:r>
    </w:p>
    <w:p>
      <w:pPr>
        <w:pStyle w:val="Heading2"/>
        <w:spacing w:before="280" w:after="100"/>
      </w:pPr>
      <w:r>
        <w:rPr>
          <w:rFonts w:ascii="Arial" w:cs="Arial" w:eastAsia="Arial" w:hAnsi="Arial"/>
          <w:b/>
          <w:bCs/>
          <w:color w:val="3730A3"/>
          <w:sz w:val="26"/>
          <w:szCs w:val="26"/>
        </w:rPr>
        <w:t xml:space="preserve">Issue 2: Weight Configuration Precision and Score Band Stratification Failure</w:t>
      </w:r>
    </w:p>
    <w:p>
      <w:pPr>
        <w:spacing w:before="80" w:after="120" w:line="320"/>
      </w:pPr>
      <w:r>
        <w:rPr>
          <w:rFonts w:ascii="Arial" w:cs="Arial" w:eastAsia="Arial" w:hAnsi="Arial"/>
          <w:sz w:val="22"/>
          <w:szCs w:val="22"/>
        </w:rPr>
        <w:t xml:space="preserve">During initial calibration of the dual-weight configurations, the team encountered a systematic issue in which candidate weight distributions produced composite scores that clustered within a 15-point range (approximately 48–63), failing to differentiate profiles that should fall in the Low Risk band (score &gt;= 70) from those that should fall in the High Risk band (score &lt;= 39). This occurred because the nine dimensions, when equally weighted, produce a regression-to-mean effect on the composite — extreme dimension scores are averaged out rather than amplified.</w:t>
      </w:r>
    </w:p>
    <w:p>
      <w:pPr>
        <w:spacing w:before="80" w:after="120" w:line="320"/>
      </w:pPr>
      <w:r>
        <w:rPr>
          <w:rFonts w:ascii="Arial" w:cs="Arial" w:eastAsia="Arial" w:hAnsi="Arial"/>
          <w:b/>
          <w:bCs/>
          <w:sz w:val="22"/>
          <w:szCs w:val="22"/>
        </w:rPr>
        <w:t xml:space="preserve">Resolution: </w:t>
      </w:r>
      <w:r>
        <w:rPr>
          <w:rFonts w:ascii="Arial" w:cs="Arial" w:eastAsia="Arial" w:hAnsi="Arial"/>
          <w:sz w:val="22"/>
          <w:szCs w:val="22"/>
        </w:rPr>
        <w:t xml:space="preserve">The team redesigned the weight schema to introduce deliberate asymmetry, assigning AI &amp; Automation exposure a weight of 25–28% (approximately 2.5x the weight of any other single dimension) and calibrating remaining weights to preserve the rank ordering of risk importance derived from the scenario analysis in Resolution 1. The final configurations (weightsStandard summing to 1.00 across seven dimensions; weightsCompany summing to 1.00 across nine dimensions) were verified programmatically, and a representative test suite of 12 company profiles spanning all five archetypes confirmed that the revised weights produced appropriately stratified scores across all three risk bands.</w:t>
      </w:r>
    </w:p>
    <w:p>
      <w:pPr>
        <w:pStyle w:val="Heading2"/>
        <w:spacing w:before="280" w:after="100"/>
      </w:pPr>
      <w:r>
        <w:rPr>
          <w:rFonts w:ascii="Arial" w:cs="Arial" w:eastAsia="Arial" w:hAnsi="Arial"/>
          <w:b/>
          <w:bCs/>
          <w:color w:val="3730A3"/>
          <w:sz w:val="26"/>
          <w:szCs w:val="26"/>
        </w:rPr>
        <w:t xml:space="preserve">Issue 3: Cross-Session File Persistence Failure</w:t>
      </w:r>
    </w:p>
    <w:p>
      <w:pPr>
        <w:spacing w:before="80" w:after="120" w:line="320"/>
      </w:pPr>
      <w:r>
        <w:rPr>
          <w:rFonts w:ascii="Arial" w:cs="Arial" w:eastAsia="Arial" w:hAnsi="Arial"/>
          <w:sz w:val="22"/>
          <w:szCs w:val="22"/>
        </w:rPr>
        <w:t xml:space="preserve">During an early development session, the primary HTML application file was saved to a temporary working directory (/outputs/) rather than the permanent project folder. When a new development session commenced, the temporary directory was cleared and the file was lost, requiring the application to be rebuilt from scratch from the rubric JSON and design specifications.</w:t>
      </w:r>
    </w:p>
    <w:p>
      <w:pPr>
        <w:spacing w:before="80" w:after="120" w:line="320"/>
      </w:pPr>
      <w:r>
        <w:rPr>
          <w:rFonts w:ascii="Arial" w:cs="Arial" w:eastAsia="Arial" w:hAnsi="Arial"/>
          <w:b/>
          <w:bCs/>
          <w:sz w:val="22"/>
          <w:szCs w:val="22"/>
        </w:rPr>
        <w:t xml:space="preserve">Resolution: </w:t>
      </w:r>
      <w:r>
        <w:rPr>
          <w:rFonts w:ascii="Arial" w:cs="Arial" w:eastAsia="Arial" w:hAnsi="Arial"/>
          <w:sz w:val="22"/>
          <w:szCs w:val="22"/>
        </w:rPr>
        <w:t xml:space="preserve">The team established a permanent save discipline: all production files are written exclusively to the mounted project folder (EI-Index/), which is committed to the GitHub repository and persists independently of the development environment. All subsequent file writes were directed to this location and the issue did not recur. The resolution also prompted the decision to maintain ei-rubric.json as a standalone configuration file mirroring the embedded RUBRIC CONFIG, providing a second recovery path in the event of future file loss.</w:t>
      </w:r>
    </w:p>
    <w:p>
      <w:pPr>
        <w:pStyle w:val="Heading2"/>
        <w:spacing w:before="280" w:after="100"/>
      </w:pPr>
      <w:r>
        <w:rPr>
          <w:rFonts w:ascii="Arial" w:cs="Arial" w:eastAsia="Arial" w:hAnsi="Arial"/>
          <w:b/>
          <w:bCs/>
          <w:color w:val="3730A3"/>
          <w:sz w:val="26"/>
          <w:szCs w:val="26"/>
        </w:rPr>
        <w:t xml:space="preserve">Issue 4: Canonical URL Mismatch During Product Rename</w:t>
      </w:r>
    </w:p>
    <w:p>
      <w:pPr>
        <w:spacing w:before="80" w:after="120" w:line="320"/>
      </w:pPr>
      <w:r>
        <w:rPr>
          <w:rFonts w:ascii="Arial" w:cs="Arial" w:eastAsia="Arial" w:hAnsi="Arial"/>
          <w:sz w:val="22"/>
          <w:szCs w:val="22"/>
        </w:rPr>
        <w:t xml:space="preserve">During the product renaming process from EmployIQ to EmployAI, and the subsequent URL path migration from /employiq/ to /employai/, the canonical URL and Open Graph URL metadata within the application HTML were not automatically updated, creating a mismatch between the live URL (wellingtonai.in/employai/) and the metadata URLs that search engines and social platforms read for indexing and preview purposes.</w:t>
      </w:r>
    </w:p>
    <w:p>
      <w:pPr>
        <w:spacing w:before="80" w:after="120" w:line="320"/>
      </w:pPr>
      <w:r>
        <w:rPr>
          <w:rFonts w:ascii="Arial" w:cs="Arial" w:eastAsia="Arial" w:hAnsi="Arial"/>
          <w:b/>
          <w:bCs/>
          <w:sz w:val="22"/>
          <w:szCs w:val="22"/>
        </w:rPr>
        <w:t xml:space="preserve">Resolution: </w:t>
      </w:r>
      <w:r>
        <w:rPr>
          <w:rFonts w:ascii="Arial" w:cs="Arial" w:eastAsia="Arial" w:hAnsi="Arial"/>
          <w:sz w:val="22"/>
          <w:szCs w:val="22"/>
        </w:rPr>
        <w:t xml:space="preserve">A programmatic string replacement was applied across all URL references in the file using Python's str.replace() method, targeting all instances of 'wellingtonai.in/employiq/' and replacing them with 'wellingtonai.in/employai/'. Post-replacement verification using grep confirmed that no /employiq/ URL references remained in the canonical, OG URL, or OG title tags. The /employiq/ path label in URLs was intentionally retained as the URL slug — the rename was a product branding change, not a URL architecture change, and the distinction was preserved in the resolution.</w:t>
      </w:r>
    </w:p>
    <w:p>
      <w:pPr>
        <w:pStyle w:val="Heading2"/>
        <w:spacing w:before="280" w:after="100"/>
      </w:pPr>
      <w:r>
        <w:rPr>
          <w:rFonts w:ascii="Arial" w:cs="Arial" w:eastAsia="Arial" w:hAnsi="Arial"/>
          <w:b/>
          <w:bCs/>
          <w:color w:val="3730A3"/>
          <w:sz w:val="26"/>
          <w:szCs w:val="26"/>
        </w:rPr>
        <w:t xml:space="preserve">Issue 5: Score Contamination Risk from Stale Field Values Across Classification Switches</w:t>
      </w:r>
    </w:p>
    <w:p>
      <w:pPr>
        <w:spacing w:before="80" w:after="120" w:line="320"/>
      </w:pPr>
      <w:r>
        <w:rPr>
          <w:rFonts w:ascii="Arial" w:cs="Arial" w:eastAsia="Arial" w:hAnsi="Arial"/>
          <w:sz w:val="22"/>
          <w:szCs w:val="22"/>
        </w:rPr>
        <w:t xml:space="preserve">During user experience testing of the classification selection interface, the team identified a latent data integrity issue: when a user selected the Company (E) archetype, entered payroll and absence values, then switched to a non-Company archetype (A–D) without clearing those fields, the stale payroll and absence values remained in the DOM input elements. Although these fields were visually hidden, their values could theoretically influence a subsequent scoring computation if the field reset logic was not executed correctly.</w:t>
      </w:r>
    </w:p>
    <w:p>
      <w:pPr>
        <w:spacing w:before="80" w:after="120" w:line="320"/>
      </w:pPr>
      <w:r>
        <w:rPr>
          <w:rFonts w:ascii="Arial" w:cs="Arial" w:eastAsia="Arial" w:hAnsi="Arial"/>
          <w:b/>
          <w:bCs/>
          <w:sz w:val="22"/>
          <w:szCs w:val="22"/>
        </w:rPr>
        <w:t xml:space="preserve">Resolution: </w:t>
      </w:r>
      <w:r>
        <w:rPr>
          <w:rFonts w:ascii="Arial" w:cs="Arial" w:eastAsia="Arial" w:hAnsi="Arial"/>
          <w:sz w:val="22"/>
          <w:szCs w:val="22"/>
        </w:rPr>
        <w:t xml:space="preserve">The selectClass() function was modified to include an explicit field reset: when any non-Company archetype is selected, the payroll and absence select elements are programmatically set to empty string (''), ensuring no stale values persist. Additionally, the checkReady() validation function was updated to iterate over the dimension key array relevant to the currently selected archetype — DIM_STANDARD for A/B/C/D, DIM_COMPANY for E — and enable the generate button only when all required fields for that specific archetype are populated. This eliminated the possibility of stale cross-archetype data contributing to a score.</w:t>
      </w:r>
    </w:p>
    <w:p>
      <w:pPr>
        <w:pStyle w:val="Heading2"/>
        <w:spacing w:before="280" w:after="100"/>
      </w:pPr>
      <w:r>
        <w:rPr>
          <w:rFonts w:ascii="Arial" w:cs="Arial" w:eastAsia="Arial" w:hAnsi="Arial"/>
          <w:b/>
          <w:bCs/>
          <w:color w:val="3730A3"/>
          <w:sz w:val="26"/>
          <w:szCs w:val="26"/>
        </w:rPr>
        <w:t xml:space="preserve">Issue 6: Unresolved — Cross-Market Empirical Validation of Base Scores</w:t>
      </w:r>
    </w:p>
    <w:p>
      <w:pPr>
        <w:spacing w:before="80" w:after="120" w:line="320"/>
      </w:pPr>
      <w:r>
        <w:rPr>
          <w:rFonts w:ascii="Arial" w:cs="Arial" w:eastAsia="Arial" w:hAnsi="Arial"/>
          <w:sz w:val="22"/>
          <w:szCs w:val="22"/>
        </w:rPr>
        <w:t xml:space="preserve">The base scores embedded in the RUBRIC CONFIG (v1.2) were derived from scenario analysis and market research anchored primarily on Indian and US labour market data. At the time of this application, empirical validation of these base scores against UK-specific workforce disruption data — such as ONS employment projections, UKRI AI sector reports, or CIPD workforce surveys — has not been completed.</w:t>
      </w:r>
    </w:p>
    <w:p>
      <w:pPr>
        <w:spacing w:before="80" w:after="120" w:line="320"/>
      </w:pPr>
      <w:r>
        <w:rPr>
          <w:rFonts w:ascii="Arial" w:cs="Arial" w:eastAsia="Arial" w:hAnsi="Arial"/>
          <w:b/>
          <w:bCs/>
          <w:sz w:val="22"/>
          <w:szCs w:val="22"/>
        </w:rPr>
        <w:t xml:space="preserve">Remediation Plan: </w:t>
      </w:r>
      <w:r>
        <w:rPr>
          <w:rFonts w:ascii="Arial" w:cs="Arial" w:eastAsia="Arial" w:hAnsi="Arial"/>
          <w:sz w:val="22"/>
          <w:szCs w:val="22"/>
        </w:rPr>
        <w:t xml:space="preserve">Wellington Marketers plans to commission a structured validation study comparing EmployAI composite scores against observed workforce restructuring outcomes in a sample of UK-based organisations across each of the five classification archetypes. This study will use the versioned rubric architecture to produce a UK-calibrated RUBRIC CONFIG variant (anticipated as v2.0), with market-specific base scores and class modifiers derived from UK data sources. The grant funding sought through this application would directly support this validation work, which constitutes the primary remaining scientific uncertainty in the project.</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E7FF" w:val="clear"/>
            <w:tcMar>
              <w:top w:type="dxa" w:w="160"/>
              <w:left w:type="dxa" w:w="200"/>
              <w:bottom w:type="dxa" w:w="160"/>
              <w:right w:type="dxa" w:w="200"/>
            </w:tcMar>
          </w:tcPr>
          <w:p>
            <w:pPr>
              <w:spacing w:before="0" w:after="60"/>
            </w:pPr>
            <w:r>
              <w:rPr>
                <w:rFonts w:ascii="Arial" w:cs="Arial" w:eastAsia="Arial" w:hAnsi="Arial"/>
                <w:b/>
                <w:bCs/>
                <w:caps/>
                <w:color w:val="3730A3"/>
                <w:sz w:val="20"/>
                <w:szCs w:val="20"/>
              </w:rPr>
              <w:t xml:space="preserve">Question 8</w:t>
            </w:r>
          </w:p>
          <w:p>
            <w:pPr>
              <w:spacing w:before="0" w:after="0"/>
            </w:pPr>
            <w:r>
              <w:rPr>
                <w:rFonts w:ascii="Arial" w:cs="Arial" w:eastAsia="Arial" w:hAnsi="Arial"/>
                <w:b/>
                <w:bCs/>
                <w:color w:val="1F3864"/>
                <w:sz w:val="23"/>
                <w:szCs w:val="23"/>
              </w:rPr>
              <w:t xml:space="preserve">What special skills, qualifications and/or experience do you and others have in your company that has enabled you to develop this product/system or process?</w:t>
            </w:r>
          </w:p>
        </w:tc>
      </w:tr>
    </w:tbl>
    <w:p>
      <w:pPr>
        <w:spacing w:before="200" w:after="0"/>
      </w:pPr>
      <w:r>
        <w:t xml:space="preserve"/>
      </w:r>
    </w:p>
    <w:p>
      <w:pPr>
        <w:pStyle w:val="Heading2"/>
        <w:spacing w:before="280" w:after="100"/>
      </w:pPr>
      <w:r>
        <w:rPr>
          <w:rFonts w:ascii="Arial" w:cs="Arial" w:eastAsia="Arial" w:hAnsi="Arial"/>
          <w:b/>
          <w:bCs/>
          <w:color w:val="3730A3"/>
          <w:sz w:val="26"/>
          <w:szCs w:val="26"/>
        </w:rPr>
        <w:t xml:space="preserve">Founder — Raja Vasu, Founder &amp; CEO</w:t>
      </w:r>
    </w:p>
    <w:p>
      <w:pPr>
        <w:spacing w:before="80" w:after="120" w:line="320"/>
      </w:pPr>
      <w:r>
        <w:rPr>
          <w:rFonts w:ascii="Arial" w:cs="Arial" w:eastAsia="Arial" w:hAnsi="Arial"/>
          <w:sz w:val="22"/>
          <w:szCs w:val="22"/>
        </w:rPr>
        <w:t xml:space="preserve">Raja Vasu founded Wellington Marketers with a background spanning marketing technology, digital strategy, and AI-driven product development. His experience directly enabled each of the substantive technical advances in EmployAI:</w:t>
      </w:r>
    </w:p>
    <w:p>
      <w:pPr>
        <w:spacing w:before="80" w:after="120" w:line="320"/>
      </w:pPr>
      <w:r>
        <w:rPr>
          <w:rFonts w:ascii="Arial" w:cs="Arial" w:eastAsia="Arial" w:hAnsi="Arial"/>
          <w:b/>
          <w:bCs/>
          <w:sz w:val="22"/>
          <w:szCs w:val="22"/>
        </w:rPr>
        <w:t xml:space="preserve">Labour Market Intelligence and Workforce Analytics Domain Knowledge</w:t>
      </w:r>
    </w:p>
    <w:p>
      <w:pPr>
        <w:spacing w:before="80" w:after="120" w:line="320"/>
      </w:pPr>
      <w:r>
        <w:rPr>
          <w:rFonts w:ascii="Arial" w:cs="Arial" w:eastAsia="Arial" w:hAnsi="Arial"/>
          <w:sz w:val="22"/>
          <w:szCs w:val="22"/>
        </w:rPr>
        <w:t xml:space="preserve">Raja brings direct experience in synthesising academic and institutional research on workforce disruption — including the Tufts/Digital Planet AI Jobs Risk Index, ILO Global Occupational Exposure methodology, Brookings adaptive capacity frameworks, and Indian market reports including the ETS Human Progress Report and NASSCOM sector analyses — into an actionable scoring framework. This domain literacy is not standard in the software engineering profession and was essential to the design of the classModifiers matrix and the identification of the business model archetype gap that EmployAI addresses.</w:t>
      </w:r>
    </w:p>
    <w:p>
      <w:pPr>
        <w:spacing w:before="80" w:after="120" w:line="320"/>
      </w:pPr>
      <w:r>
        <w:rPr>
          <w:rFonts w:ascii="Arial" w:cs="Arial" w:eastAsia="Arial" w:hAnsi="Arial"/>
          <w:b/>
          <w:bCs/>
          <w:sz w:val="22"/>
          <w:szCs w:val="22"/>
        </w:rPr>
        <w:t xml:space="preserve">AI-Driven Product Development and Self-Service Tool Architecture</w:t>
      </w:r>
    </w:p>
    <w:p>
      <w:pPr>
        <w:spacing w:before="80" w:after="120" w:line="320"/>
      </w:pPr>
      <w:r>
        <w:rPr>
          <w:rFonts w:ascii="Arial" w:cs="Arial" w:eastAsia="Arial" w:hAnsi="Arial"/>
          <w:sz w:val="22"/>
          <w:szCs w:val="22"/>
        </w:rPr>
        <w:t xml:space="preserve">Prior to EmployAI, Raja led the development of SoarAI, Wellington Marketers' AI-powered marketing intelligence platform, which delivers SEO audits, landing page optimisation scorecards, and ad copy generation as self-service tools. This experience established the core technical competency that EmployAI builds on: designing client-side analytical engines that make enterprise-grade intelligence accessible without server infrastructure, data submission, or technical expertise on the part of the end user.</w:t>
      </w:r>
    </w:p>
    <w:p>
      <w:pPr>
        <w:spacing w:before="80" w:after="120" w:line="320"/>
      </w:pPr>
      <w:r>
        <w:rPr>
          <w:rFonts w:ascii="Arial" w:cs="Arial" w:eastAsia="Arial" w:hAnsi="Arial"/>
          <w:b/>
          <w:bCs/>
          <w:sz w:val="22"/>
          <w:szCs w:val="22"/>
        </w:rPr>
        <w:t xml:space="preserve">Composite Index Construction and Rubric Design</w:t>
      </w:r>
    </w:p>
    <w:p>
      <w:pPr>
        <w:spacing w:before="80" w:after="120" w:line="320"/>
      </w:pPr>
      <w:r>
        <w:rPr>
          <w:rFonts w:ascii="Arial" w:cs="Arial" w:eastAsia="Arial" w:hAnsi="Arial"/>
          <w:sz w:val="22"/>
          <w:szCs w:val="22"/>
        </w:rPr>
        <w:t xml:space="preserve">The design of a multi-dimensional composite index — including the selection of dimensions, the assignment of base scores, the calibration of dimension weights, and the construction of archetype-specific modifiers — requires an understanding of index methodology that sits at the intersection of social science research design and quantitative analytics. Raja's ability to apply the OECD Handbook on Constructing Composite Indicators framework to the workforce risk domain, and to adapt it to the constraints of a client-side deterministic engine, was a non-routine application of cross-disciplinary expertise.</w:t>
      </w:r>
    </w:p>
    <w:p>
      <w:pPr>
        <w:spacing w:before="80" w:after="120" w:line="320"/>
      </w:pPr>
      <w:r>
        <w:rPr>
          <w:rFonts w:ascii="Arial" w:cs="Arial" w:eastAsia="Arial" w:hAnsi="Arial"/>
          <w:b/>
          <w:bCs/>
          <w:sz w:val="22"/>
          <w:szCs w:val="22"/>
        </w:rPr>
        <w:t xml:space="preserve">Multi-Market Perspective Across India, UK, and US</w:t>
      </w:r>
    </w:p>
    <w:p>
      <w:pPr>
        <w:spacing w:before="80" w:after="120" w:line="320"/>
      </w:pPr>
      <w:r>
        <w:rPr>
          <w:rFonts w:ascii="Arial" w:cs="Arial" w:eastAsia="Arial" w:hAnsi="Arial"/>
          <w:sz w:val="22"/>
          <w:szCs w:val="22"/>
        </w:rPr>
        <w:t xml:space="preserve">Wellington Marketers operates at the intersection of three major labour markets — India (primary operational base, where AI displacement of IT and BPO workforces is most acute), the United Kingdom (grant application jurisdiction, with a distinct regulatory and sectoral workforce profile), and the United States (where the most developed academic workforce risk indices originate). Raja's understanding of the structural differences between these markets — in wage levels, AI adoption curves, regulatory frameworks, and sectoral composition — directly informed the decision to design the rubric as a configurable, market-agnostic instrument rather than a fixed statistical model calibrated to a single national dataset.</w:t>
      </w:r>
    </w:p>
    <w:p>
      <w:pPr>
        <w:spacing w:before="80" w:after="120" w:line="320"/>
      </w:pPr>
      <w:r>
        <w:rPr>
          <w:rFonts w:ascii="Arial" w:cs="Arial" w:eastAsia="Arial" w:hAnsi="Arial"/>
          <w:b/>
          <w:bCs/>
          <w:sz w:val="22"/>
          <w:szCs w:val="22"/>
        </w:rPr>
        <w:t xml:space="preserve">Technical Stack and Deployment Architecture</w:t>
      </w:r>
    </w:p>
    <w:p>
      <w:pPr>
        <w:spacing w:before="80" w:after="120" w:line="320"/>
      </w:pPr>
      <w:r>
        <w:rPr>
          <w:rFonts w:ascii="Arial" w:cs="Arial" w:eastAsia="Arial" w:hAnsi="Arial"/>
          <w:sz w:val="22"/>
          <w:szCs w:val="22"/>
        </w:rPr>
        <w:t xml:space="preserve">The decision to implement EmployAI as a fully self-contained client-side HTML application — rather than a server-side SaaS application with a database backend and API layer — required an original assessment of the trade-offs between development complexity, deployment cost, data privacy (no user data transmitted to a server), accessibility (operable without account creation), and scoring engine maintainability. This architectural decision, and its implementation as a single-file application with an embedded, version-controlled scoring rubric, reflects a level of product architecture judgement that goes beyond routine software development practice.</w:t>
      </w:r>
    </w:p>
    <w:p>
      <w:pPr>
        <w:pStyle w:val="Heading2"/>
        <w:spacing w:before="280" w:after="100"/>
      </w:pPr>
      <w:r>
        <w:rPr>
          <w:rFonts w:ascii="Arial" w:cs="Arial" w:eastAsia="Arial" w:hAnsi="Arial"/>
          <w:b/>
          <w:bCs/>
          <w:color w:val="3730A3"/>
          <w:sz w:val="26"/>
          <w:szCs w:val="26"/>
        </w:rPr>
        <w:t xml:space="preserve">Organisational Capability</w:t>
      </w:r>
    </w:p>
    <w:p>
      <w:pPr>
        <w:spacing w:before="80" w:after="120" w:line="320"/>
      </w:pPr>
      <w:r>
        <w:rPr>
          <w:rFonts w:ascii="Arial" w:cs="Arial" w:eastAsia="Arial" w:hAnsi="Arial"/>
          <w:sz w:val="22"/>
          <w:szCs w:val="22"/>
        </w:rPr>
        <w:t xml:space="preserve">Wellington Marketers is an early-stage company in which the founder's cross-disciplinary expertise — spanning labour economics, AI product development, quantitative index methodology, and multi-market workforce intelligence — constitutes the primary capability asset. The company's demonstrated ability to ship SoarAI (a live AI marketing intelligence platform) and EmployAI (a live workforce risk scoring engine) as independently deployable, publicly accessible products within a single development cycle validates the organisational capacity to execute on its R&amp;D programme without the institutional overhead typical of larger research organisations.</w:t>
      </w:r>
    </w:p>
    <w:p>
      <w:pPr>
        <w:spacing w:before="80" w:after="120" w:line="320"/>
      </w:pPr>
      <w:r>
        <w:rPr>
          <w:rFonts w:ascii="Arial" w:cs="Arial" w:eastAsia="Arial" w:hAnsi="Arial"/>
          <w:sz w:val="22"/>
          <w:szCs w:val="22"/>
        </w:rPr>
        <w:t xml:space="preserve">The combination of domain knowledge (workforce analytics and AI disruption economics), methodological expertise (composite index design and rubric calibration), and technical execution capability (self-contained analytical product development and GitHub Pages deployment) represents a skills profile that is unusual at the SME stage and that directly enabled the specific technical advances described in this application.</w:t>
      </w:r>
    </w:p>
    <w:p>
      <w:pPr>
        <w:spacing w:before="300" w:after="0"/>
      </w:pPr>
      <w:r>
        <w:t xml:space="preserve"/>
      </w:r>
    </w:p>
    <w:p>
      <w:pPr>
        <w:pBdr>
          <w:bottom w:val="single" w:color="C7D2FE" w:sz="4" w:space="1"/>
        </w:pBdr>
        <w:spacing w:before="200" w:after="200"/>
      </w:pPr>
      <w:r>
        <w:t xml:space="preserve"/>
      </w:r>
    </w:p>
    <w:p>
      <w:pPr>
        <w:spacing w:before="160" w:after="160"/>
        <w:jc w:val="center"/>
      </w:pPr>
      <w:r>
        <w:rPr>
          <w:rFonts w:ascii="Arial" w:cs="Arial" w:eastAsia="Arial" w:hAnsi="Arial"/>
          <w:i/>
          <w:iCs/>
          <w:color w:val="9CA3AF"/>
          <w:sz w:val="18"/>
          <w:szCs w:val="18"/>
        </w:rPr>
        <w:t xml:space="preserve">End of Grant Application Supporting Narrative — Wellington Marketers / EmployAI</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FE" w:sz="4" w:space="4"/>
      </w:pBdr>
      <w:jc w:val="center"/>
    </w:pPr>
    <w:r>
      <w:rPr>
        <w:rFonts w:ascii="Arial" w:cs="Arial" w:eastAsia="Arial" w:hAnsi="Arial"/>
        <w:color w:val="9CA3AF"/>
        <w:sz w:val="18"/>
        <w:szCs w:val="18"/>
      </w:rPr>
      <w:t xml:space="preserve">Wellington Marketers  |  wellingtonai.in  |  Confidential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FE" w:sz="4" w:space="4"/>
      </w:pBdr>
      <w:jc w:val="right"/>
    </w:pPr>
    <w:r>
      <w:rPr>
        <w:rFonts w:ascii="Arial" w:cs="Arial" w:eastAsia="Arial" w:hAnsi="Arial"/>
        <w:color w:val="6366F1"/>
        <w:sz w:val="18"/>
        <w:szCs w:val="18"/>
      </w:rPr>
      <w:t xml:space="preserve">EmployAI — UK R&amp;D Grant Application  |  Wellington Marketers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3730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2026-04-09T09:21:24.043Z</dcterms:created>
  <dcterms:modified xsi:type="dcterms:W3CDTF">2026-04-09T09:21:24.043Z</dcterms:modified>
</cp:coreProperties>
</file>

<file path=docProps/custom.xml><?xml version="1.0" encoding="utf-8"?>
<Properties xmlns="http://schemas.openxmlformats.org/officeDocument/2006/custom-properties" xmlns:vt="http://schemas.openxmlformats.org/officeDocument/2006/docPropsVTypes"/>
</file>