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360"/>
            <w:shd w:val="clear" w:color="auto" w:fill="1877F2"/>
          </w:tcPr>
          <w:p>
            <w:pPr>
              <w:spacing w:before="280" w:after="280"/>
              <w:jc w:val="left"/>
            </w:pPr>
            <w:r>
              <w:rPr>
                <w:b/>
                <w:color w:val="FFFFFF"/>
                <w:sz w:val="36"/>
              </w:rPr>
              <w:t xml:space="preserve">  AdAuto Dashboard — Unpopulated Report Fields</w:t>
            </w:r>
          </w:p>
        </w:tc>
      </w:tr>
    </w:tbl>
    <w:p/>
    <w:p>
      <w:pPr>
        <w:spacing w:before="0" w:after="80"/>
        <w:jc w:val="left"/>
      </w:pPr>
      <w:r>
        <w:rPr>
          <w:b w:val="0"/>
          <w:color w:val="6B7280"/>
          <w:sz w:val="26"/>
        </w:rPr>
        <w:t>Technical Explanation &amp; Resolution Roadmap</w:t>
      </w:r>
    </w:p>
    <w:tbl>
      <w:tblPr>
        <w:tblW w:type="auto" w:w="0"/>
        <w:jc w:val="left"/>
        <w:tblLook w:firstColumn="1" w:firstRow="1" w:lastColumn="0" w:lastRow="0" w:noHBand="0" w:noVBand="1" w:val="04A0"/>
      </w:tblPr>
      <w:tblGrid>
        <w:gridCol w:w="4703"/>
        <w:gridCol w:w="4703"/>
      </w:tblGrid>
      <w:tr>
        <w:tc>
          <w:tcPr>
            <w:tcW w:type="dxa" w:w="2592"/>
          </w:tcPr>
          <w:p>
            <w:r>
              <w:rPr>
                <w:b/>
                <w:color w:val="6B7280"/>
                <w:sz w:val="18"/>
              </w:rPr>
              <w:t>Document Version</w:t>
            </w:r>
          </w:p>
        </w:tc>
        <w:tc>
          <w:tcPr>
            <w:tcW w:type="dxa" w:w="5760"/>
          </w:tcPr>
          <w:p>
            <w:r>
              <w:rPr>
                <w:color w:val="1F2937"/>
                <w:sz w:val="18"/>
              </w:rPr>
              <w:t>1.0</w:t>
            </w:r>
          </w:p>
        </w:tc>
      </w:tr>
      <w:tr>
        <w:tc>
          <w:tcPr>
            <w:tcW w:type="dxa" w:w="2592"/>
          </w:tcPr>
          <w:p>
            <w:r>
              <w:rPr>
                <w:b/>
                <w:color w:val="6B7280"/>
                <w:sz w:val="18"/>
              </w:rPr>
              <w:t>Prepared by</w:t>
            </w:r>
          </w:p>
        </w:tc>
        <w:tc>
          <w:tcPr>
            <w:tcW w:type="dxa" w:w="5760"/>
          </w:tcPr>
          <w:p>
            <w:r>
              <w:rPr>
                <w:color w:val="1F2937"/>
                <w:sz w:val="18"/>
              </w:rPr>
              <w:t>AdAuto Engineering</w:t>
            </w:r>
          </w:p>
        </w:tc>
      </w:tr>
      <w:tr>
        <w:tc>
          <w:tcPr>
            <w:tcW w:type="dxa" w:w="2592"/>
          </w:tcPr>
          <w:p>
            <w:r>
              <w:rPr>
                <w:b/>
                <w:color w:val="6B7280"/>
                <w:sz w:val="18"/>
              </w:rPr>
              <w:t>Date</w:t>
            </w:r>
          </w:p>
        </w:tc>
        <w:tc>
          <w:tcPr>
            <w:tcW w:type="dxa" w:w="5760"/>
          </w:tcPr>
          <w:p>
            <w:r>
              <w:rPr>
                <w:color w:val="1F2937"/>
                <w:sz w:val="18"/>
              </w:rPr>
              <w:t>April 2026</w:t>
            </w:r>
          </w:p>
        </w:tc>
      </w:tr>
      <w:tr>
        <w:tc>
          <w:tcPr>
            <w:tcW w:type="dxa" w:w="2592"/>
          </w:tcPr>
          <w:p>
            <w:r>
              <w:rPr>
                <w:b/>
                <w:color w:val="6B7280"/>
                <w:sz w:val="18"/>
              </w:rPr>
              <w:t>Status</w:t>
            </w:r>
          </w:p>
        </w:tc>
        <w:tc>
          <w:tcPr>
            <w:tcW w:type="dxa" w:w="5760"/>
          </w:tcPr>
          <w:p>
            <w:r>
              <w:rPr>
                <w:color w:val="1F2937"/>
                <w:sz w:val="18"/>
              </w:rPr>
              <w:t>Open — Pending Resolution</w:t>
            </w:r>
          </w:p>
        </w:tc>
      </w:tr>
    </w:tbl>
    <w:p/>
    <w:p>
      <w:pPr>
        <w:pBdr>
          <w:bottom w:val="single" w:sz="4" w:space="1" w:color="E5E7EB"/>
        </w:pBdr>
        <w:spacing w:before="0" w:after="0"/>
      </w:pPr>
    </w:p>
    <w:p/>
    <w:p>
      <w:pPr>
        <w:spacing w:before="80" w:after="120"/>
        <w:jc w:val="left"/>
      </w:pPr>
      <w:r>
        <w:rPr>
          <w:b/>
          <w:color w:val="111827"/>
          <w:sz w:val="28"/>
        </w:rPr>
        <w:t>Overview</w:t>
      </w:r>
    </w:p>
    <w:p>
      <w:pPr>
        <w:spacing w:before="0" w:after="200"/>
        <w:jc w:val="left"/>
      </w:pPr>
      <w:r>
        <w:rPr>
          <w:b w:val="0"/>
          <w:color w:val="374151"/>
          <w:sz w:val="21"/>
        </w:rPr>
        <w:t>This document explains why certain fields in the Weekly Performance Report are currently unpopulated. Each field is categorised by its root cause, the technical constraint involved, and the steps required to resolve it.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3F4F6"/>
          </w:tcPr>
          <w:p>
            <w:pPr>
              <w:spacing w:before="80" w:after="80"/>
            </w:pPr>
            <w:r>
              <w:rPr>
                <w:b/>
                <w:color w:val="374151"/>
                <w:sz w:val="19"/>
              </w:rPr>
              <w:t>Category</w:t>
            </w:r>
          </w:p>
        </w:tc>
        <w:tc>
          <w:tcPr>
            <w:tcW w:type="dxa" w:w="4703"/>
            <w:shd w:val="clear" w:color="auto" w:fill="F3F4F6"/>
          </w:tcPr>
          <w:p>
            <w:pPr>
              <w:spacing w:before="80" w:after="80"/>
            </w:pPr>
            <w:r>
              <w:rPr>
                <w:b/>
                <w:color w:val="374151"/>
                <w:sz w:val="19"/>
              </w:rPr>
              <w:t>Meaning</w:t>
            </w:r>
          </w:p>
        </w:tc>
      </w:tr>
      <w:tr>
        <w:tc>
          <w:tcPr>
            <w:tcW w:type="dxa" w:w="4703"/>
          </w:tcPr>
          <w:p>
            <w:pPr>
              <w:spacing w:before="80" w:after="80"/>
            </w:pPr>
            <w:r>
              <w:rPr>
                <w:color w:val="1F2937"/>
                <w:sz w:val="19"/>
              </w:rPr>
              <w:t>⚠️  Partial</w:t>
            </w:r>
          </w:p>
        </w:tc>
        <w:tc>
          <w:tcPr>
            <w:tcW w:type="dxa" w:w="4703"/>
          </w:tcPr>
          <w:p>
            <w:pPr>
              <w:spacing w:before="80" w:after="80"/>
            </w:pPr>
            <w:r>
              <w:rPr>
                <w:color w:val="1F2937"/>
                <w:sz w:val="19"/>
              </w:rPr>
              <w:t>Data is available but requires additional conventions or approximations</w:t>
            </w:r>
          </w:p>
        </w:tc>
      </w:tr>
      <w:tr>
        <w:tc>
          <w:tcPr>
            <w:tcW w:type="dxa" w:w="4703"/>
          </w:tcPr>
          <w:p>
            <w:pPr>
              <w:spacing w:before="80" w:after="80"/>
            </w:pPr>
            <w:r>
              <w:rPr>
                <w:color w:val="1F2937"/>
                <w:sz w:val="19"/>
              </w:rPr>
              <w:t>❌  Unavailable</w:t>
            </w:r>
          </w:p>
        </w:tc>
        <w:tc>
          <w:tcPr>
            <w:tcW w:type="dxa" w:w="4703"/>
          </w:tcPr>
          <w:p>
            <w:pPr>
              <w:spacing w:before="80" w:after="80"/>
            </w:pPr>
            <w:r>
              <w:rPr>
                <w:color w:val="1F2937"/>
                <w:sz w:val="19"/>
              </w:rPr>
              <w:t>Data is not currently being collected — requires a system change</w:t>
            </w:r>
          </w:p>
        </w:tc>
      </w:tr>
    </w:tbl>
    <w:p/>
    <w:tbl>
      <w:tblPr>
        <w:tblW w:type="auto" w:w="0"/>
        <w:jc w:val="left"/>
        <w:tblLook w:firstColumn="1" w:firstRow="1" w:lastColumn="0" w:lastRow="0" w:noHBand="0" w:noVBand="1" w:val="04A0"/>
      </w:tblPr>
      <w:tblGrid>
        <w:gridCol w:w="9406"/>
      </w:tblGrid>
      <w:tr>
        <w:tc>
          <w:tcPr>
            <w:tcW w:type="dxa" w:w="9406"/>
            <w:shd w:val="clear" w:color="auto" w:fill="FFFBEB"/>
          </w:tcPr>
          <w:p>
            <w:pPr>
              <w:spacing w:before="160" w:after="160"/>
            </w:pPr>
            <w:r>
              <w:rPr>
                <w:b/>
                <w:color w:val="92400E"/>
                <w:sz w:val="24"/>
              </w:rPr>
              <w:t xml:space="preserve">  ⚠️  Partial Fields</w:t>
            </w:r>
          </w:p>
        </w:tc>
      </w:tr>
    </w:tbl>
    <w:p/>
    <w:p>
      <w:pPr>
        <w:spacing w:before="0" w:after="200"/>
        <w:jc w:val="left"/>
      </w:pPr>
      <w:r>
        <w:rPr>
          <w:b w:val="0"/>
          <w:color w:val="78716C"/>
          <w:sz w:val="20"/>
        </w:rPr>
        <w:t>These fields can be populated, but only under specific conditions or with an acknowledged approximation.</w:t>
      </w:r>
    </w:p>
    <w:p>
      <w:pPr>
        <w:spacing w:before="160" w:after="40"/>
      </w:pPr>
      <w:r>
        <w:rPr>
          <w:b/>
          <w:color w:val="1F2937"/>
          <w:sz w:val="24"/>
        </w:rPr>
        <w:t xml:space="preserve">1.  </w:t>
      </w:r>
      <w:r>
        <w:rPr>
          <w:b/>
          <w:color w:val="1F2937"/>
          <w:sz w:val="24"/>
        </w:rPr>
        <w:t>Retargeting CPP &amp; Broad Audience CPP</w:t>
      </w:r>
    </w:p>
    <w:p>
      <w:pPr>
        <w:spacing w:before="80" w:after="40"/>
        <w:ind w:left="454"/>
      </w:pPr>
      <w:r>
        <w:rPr>
          <w:b/>
          <w:color w:val="6B7280"/>
          <w:sz w:val="19"/>
        </w:rPr>
        <w:t xml:space="preserve">Why it is not populated:  </w:t>
      </w:r>
      <w:r>
        <w:rPr>
          <w:color w:val="374151"/>
          <w:sz w:val="19"/>
        </w:rPr>
        <w:t>The Meta Ads API does not expose a native audience-type label per ad set. There is no field that explicitly marks an ad set as retargeting versus broad prospecting. This distinction exists only in the naming convention applied by the media buyer when the ad set is created.</w:t>
      </w:r>
    </w:p>
    <w:p>
      <w:pPr>
        <w:spacing w:before="80" w:after="40"/>
        <w:ind w:left="454"/>
      </w:pPr>
      <w:r>
        <w:rPr>
          <w:b/>
          <w:color w:val="6B7280"/>
          <w:sz w:val="19"/>
        </w:rPr>
        <w:t xml:space="preserve">What is required:  </w:t>
      </w:r>
      <w:r>
        <w:rPr>
          <w:color w:val="374151"/>
          <w:sz w:val="19"/>
        </w:rPr>
        <w:t>Ad set names stored in the database must follow a consistent naming convention so the system can classify them. For example — Retargeting: [RET] Website Visitors 30D  |  Broad: [BROAD] India 25-45 Interest. Once conventions are enforced, the system pattern-matches on adset_name to segment CPP accordingly.</w:t>
      </w:r>
    </w:p>
    <w:p>
      <w:pPr>
        <w:spacing w:before="80" w:after="40"/>
        <w:ind w:left="454"/>
      </w:pPr>
      <w:r>
        <w:rPr>
          <w:b/>
          <w:color w:val="6B7280"/>
          <w:sz w:val="19"/>
        </w:rPr>
        <w:t xml:space="preserve">Action owner:  </w:t>
      </w:r>
      <w:r>
        <w:rPr>
          <w:color w:val="374151"/>
          <w:sz w:val="19"/>
        </w:rPr>
        <w:t>Media Buyer</w:t>
      </w:r>
    </w:p>
    <w:p>
      <w:pPr>
        <w:spacing w:before="80" w:after="40"/>
        <w:ind w:left="454"/>
      </w:pPr>
      <w:r>
        <w:rPr>
          <w:b/>
          <w:color w:val="6B7280"/>
          <w:sz w:val="19"/>
        </w:rPr>
        <w:t xml:space="preserve">Estimated effort:  </w:t>
      </w:r>
      <w:r>
        <w:rPr>
          <w:color w:val="374151"/>
          <w:sz w:val="19"/>
        </w:rPr>
        <w:t>Low — no engineering work needed once naming is applied</w:t>
      </w:r>
    </w:p>
    <w:p>
      <w:pPr>
        <w:spacing w:before="80" w:after="40"/>
        <w:ind w:left="454"/>
      </w:pPr>
      <w:r>
        <w:rPr>
          <w:b/>
          <w:color w:val="6B7280"/>
          <w:sz w:val="19"/>
        </w:rPr>
        <w:t xml:space="preserve">Current status:  </w:t>
      </w:r>
      <w:r>
        <w:rPr>
          <w:color w:val="374151"/>
          <w:sz w:val="19"/>
        </w:rPr>
        <w:t>Not populated. Will be enabled once naming conventions are consistently applied across all active campaigns.</w:t>
      </w:r>
    </w:p>
    <w:p>
      <w:pPr>
        <w:spacing w:before="80" w:after="40"/>
        <w:ind w:left="454"/>
      </w:pPr>
      <w:r>
        <w:rPr>
          <w:b/>
          <w:color w:val="6B7280"/>
          <w:sz w:val="19"/>
        </w:rPr>
        <w:t xml:space="preserve">Action required:  </w:t>
      </w:r>
      <w:r>
        <w:rPr>
          <w:color w:val="374151"/>
          <w:sz w:val="19"/>
        </w:rPr>
        <w:t>Rename all active ad sets to include a clear prefix: RET, BROAD, LAL (Lookalike), or COLD.</w:t>
      </w:r>
    </w:p>
    <w:p>
      <w:pPr>
        <w:pBdr>
          <w:bottom w:val="single" w:sz="4" w:space="1" w:color="E5E7EB"/>
        </w:pBdr>
        <w:spacing w:before="0" w:after="0"/>
      </w:pPr>
    </w:p>
    <w:p/>
    <w:p>
      <w:pPr>
        <w:spacing w:before="160" w:after="40"/>
      </w:pPr>
      <w:r>
        <w:rPr>
          <w:b/>
          <w:color w:val="1F2937"/>
          <w:sz w:val="24"/>
        </w:rPr>
        <w:t xml:space="preserve">2.  </w:t>
      </w:r>
      <w:r>
        <w:rPr>
          <w:b/>
          <w:color w:val="1F2937"/>
          <w:sz w:val="24"/>
        </w:rPr>
        <w:t>CBO Budget Distribution — Top Ad Set %</w:t>
      </w:r>
    </w:p>
    <w:p>
      <w:pPr>
        <w:spacing w:before="80" w:after="40"/>
        <w:ind w:left="454"/>
      </w:pPr>
      <w:r>
        <w:rPr>
          <w:b/>
          <w:color w:val="6B7280"/>
          <w:sz w:val="19"/>
        </w:rPr>
        <w:t xml:space="preserve">Why it is not populated:  </w:t>
      </w:r>
      <w:r>
        <w:rPr>
          <w:color w:val="374151"/>
          <w:sz w:val="19"/>
        </w:rPr>
        <w:t>Campaign Budget Optimisation allocates budget dynamically. The Meta API does not return a planned budget share per ad set — because CBO is designed to be dynamic and does not expose a fixed allocation percentage.</w:t>
      </w:r>
    </w:p>
    <w:p>
      <w:pPr>
        <w:spacing w:before="80" w:after="40"/>
        <w:ind w:left="454"/>
      </w:pPr>
      <w:r>
        <w:rPr>
          <w:b/>
          <w:color w:val="6B7280"/>
          <w:sz w:val="19"/>
        </w:rPr>
        <w:t xml:space="preserve">What is required:  </w:t>
      </w:r>
      <w:r>
        <w:rPr>
          <w:color w:val="374151"/>
          <w:sz w:val="19"/>
        </w:rPr>
        <w:t>Derive spend distribution from actual spend per ad set using: Ad Set Spend Share (%) = Ad Set Spend ÷ Total Campaign Spend × 100. This is an approximation based on actual spend, not planned budget allocation.</w:t>
      </w:r>
    </w:p>
    <w:p>
      <w:pPr>
        <w:spacing w:before="80" w:after="40"/>
        <w:ind w:left="454"/>
      </w:pPr>
      <w:r>
        <w:rPr>
          <w:b/>
          <w:color w:val="6B7280"/>
          <w:sz w:val="19"/>
        </w:rPr>
        <w:t xml:space="preserve">Action owner:  </w:t>
      </w:r>
      <w:r>
        <w:rPr>
          <w:color w:val="374151"/>
          <w:sz w:val="19"/>
        </w:rPr>
        <w:t>Engineering</w:t>
      </w:r>
    </w:p>
    <w:p>
      <w:pPr>
        <w:spacing w:before="80" w:after="40"/>
        <w:ind w:left="454"/>
      </w:pPr>
      <w:r>
        <w:rPr>
          <w:b/>
          <w:color w:val="6B7280"/>
          <w:sz w:val="19"/>
        </w:rPr>
        <w:t xml:space="preserve">Estimated effort:  </w:t>
      </w:r>
      <w:r>
        <w:rPr>
          <w:color w:val="374151"/>
          <w:sz w:val="19"/>
        </w:rPr>
        <w:t>Low — 1–2 hours</w:t>
      </w:r>
    </w:p>
    <w:p>
      <w:pPr>
        <w:spacing w:before="80" w:after="40"/>
        <w:ind w:left="454"/>
      </w:pPr>
      <w:r>
        <w:rPr>
          <w:b/>
          <w:color w:val="6B7280"/>
          <w:sz w:val="19"/>
        </w:rPr>
        <w:t xml:space="preserve">Current status:  </w:t>
      </w:r>
      <w:r>
        <w:rPr>
          <w:color w:val="374151"/>
          <w:sz w:val="19"/>
        </w:rPr>
        <w:t>Derivable as an approximation. Not shown by default to avoid misrepresenting it as a planned budget figure.</w:t>
      </w:r>
    </w:p>
    <w:p>
      <w:pPr>
        <w:spacing w:before="80" w:after="40"/>
        <w:ind w:left="454"/>
      </w:pPr>
      <w:r>
        <w:rPr>
          <w:b/>
          <w:color w:val="6B7280"/>
          <w:sz w:val="19"/>
        </w:rPr>
        <w:t xml:space="preserve">Action required:  </w:t>
      </w:r>
      <w:r>
        <w:rPr>
          <w:color w:val="374151"/>
          <w:sz w:val="19"/>
        </w:rPr>
        <w:t>Add a spend-distribution view with a clear 'Actual Spend Share' label and disclaimer in the dashboard.</w:t>
      </w:r>
    </w:p>
    <w:p>
      <w:pPr>
        <w:pBdr>
          <w:bottom w:val="single" w:sz="4" w:space="1" w:color="E5E7EB"/>
        </w:pBdr>
        <w:spacing w:before="0" w:after="0"/>
      </w:pPr>
    </w:p>
    <w:p/>
    <w:tbl>
      <w:tblPr>
        <w:tblW w:type="auto" w:w="0"/>
        <w:jc w:val="left"/>
        <w:tblLook w:firstColumn="1" w:firstRow="1" w:lastColumn="0" w:lastRow="0" w:noHBand="0" w:noVBand="1" w:val="04A0"/>
      </w:tblPr>
      <w:tblGrid>
        <w:gridCol w:w="9406"/>
      </w:tblGrid>
      <w:tr>
        <w:tc>
          <w:tcPr>
            <w:tcW w:type="dxa" w:w="9406"/>
            <w:shd w:val="clear" w:color="auto" w:fill="FEF2F2"/>
          </w:tcPr>
          <w:p>
            <w:pPr>
              <w:spacing w:before="160" w:after="160"/>
            </w:pPr>
            <w:r>
              <w:rPr>
                <w:b/>
                <w:color w:val="991B1B"/>
                <w:sz w:val="24"/>
              </w:rPr>
              <w:t xml:space="preserve">  ❌  Unavailable Fields</w:t>
            </w:r>
          </w:p>
        </w:tc>
      </w:tr>
    </w:tbl>
    <w:p/>
    <w:p>
      <w:pPr>
        <w:spacing w:before="0" w:after="200"/>
        <w:jc w:val="left"/>
      </w:pPr>
      <w:r>
        <w:rPr>
          <w:b w:val="0"/>
          <w:color w:val="78716C"/>
          <w:sz w:val="20"/>
        </w:rPr>
        <w:t>These fields cannot be populated until a change is made to how data is collected from the Meta Ads API.</w:t>
      </w:r>
    </w:p>
    <w:p>
      <w:pPr>
        <w:spacing w:before="160" w:after="40"/>
      </w:pPr>
      <w:r>
        <w:rPr>
          <w:b/>
          <w:color w:val="1F2937"/>
          <w:sz w:val="24"/>
        </w:rPr>
        <w:t xml:space="preserve">3.  </w:t>
      </w:r>
      <w:r>
        <w:rPr>
          <w:b/>
          <w:color w:val="1F2937"/>
          <w:sz w:val="24"/>
        </w:rPr>
        <w:t>Ad Sets Paused / Killed This Week</w:t>
      </w:r>
    </w:p>
    <w:p>
      <w:pPr>
        <w:spacing w:before="80" w:after="40"/>
        <w:ind w:left="454"/>
      </w:pPr>
      <w:r>
        <w:rPr>
          <w:b/>
          <w:color w:val="6B7280"/>
          <w:sz w:val="19"/>
        </w:rPr>
        <w:t xml:space="preserve">Why it is not populated:  </w:t>
      </w:r>
      <w:r>
        <w:rPr>
          <w:color w:val="374151"/>
          <w:sz w:val="19"/>
        </w:rPr>
        <w:t>The current data model only stores performance metrics (spend, impressions, clicks, etc.) on a per-day basis. It does not store the status of an ad set (Active, Paused, Archived) at any point in time. To detect whether an ad set was paused or killed during a given week, the system would need to compare status between consecutive days — data that has never been collected.</w:t>
      </w:r>
    </w:p>
    <w:p>
      <w:pPr>
        <w:spacing w:before="80" w:after="40"/>
        <w:ind w:left="454"/>
      </w:pPr>
      <w:r>
        <w:rPr>
          <w:b/>
          <w:color w:val="6B7280"/>
          <w:sz w:val="19"/>
        </w:rPr>
        <w:t xml:space="preserve">What is required:  </w:t>
      </w:r>
      <w:r>
        <w:rPr>
          <w:color w:val="374151"/>
          <w:sz w:val="19"/>
        </w:rPr>
        <w:t>Create a new database table adset_status_log with columns: adset_id, adset_name, campaign_id, status, recorded_date. During each Meta sync, request ad set statuses from the API and insert a daily snapshot. In the report, query for ad sets where status changed from ACTIVE to PAUSED or DELETED within the week.</w:t>
      </w:r>
    </w:p>
    <w:p>
      <w:pPr>
        <w:spacing w:before="80" w:after="40"/>
        <w:ind w:left="454"/>
      </w:pPr>
      <w:r>
        <w:rPr>
          <w:b/>
          <w:color w:val="6B7280"/>
          <w:sz w:val="19"/>
        </w:rPr>
        <w:t xml:space="preserve">Action owner:  </w:t>
      </w:r>
      <w:r>
        <w:rPr>
          <w:color w:val="374151"/>
          <w:sz w:val="19"/>
        </w:rPr>
        <w:t>Engineering</w:t>
      </w:r>
    </w:p>
    <w:p>
      <w:pPr>
        <w:spacing w:before="80" w:after="40"/>
        <w:ind w:left="454"/>
      </w:pPr>
      <w:r>
        <w:rPr>
          <w:b/>
          <w:color w:val="6B7280"/>
          <w:sz w:val="19"/>
        </w:rPr>
        <w:t xml:space="preserve">Estimated effort:  </w:t>
      </w:r>
      <w:r>
        <w:rPr>
          <w:color w:val="374151"/>
          <w:sz w:val="19"/>
        </w:rPr>
        <w:t>Medium — 3–4 hours including schema migration, sync update, and frontend display</w:t>
      </w:r>
    </w:p>
    <w:p>
      <w:pPr>
        <w:spacing w:before="80" w:after="40"/>
        <w:ind w:left="454"/>
      </w:pPr>
      <w:r>
        <w:rPr>
          <w:b/>
          <w:color w:val="6B7280"/>
          <w:sz w:val="19"/>
        </w:rPr>
        <w:t xml:space="preserve">Current status:  </w:t>
      </w:r>
      <w:r>
        <w:rPr>
          <w:color w:val="374151"/>
          <w:sz w:val="19"/>
        </w:rPr>
        <w:t>No historical status data exists. Field shows — until tracking is implemented.</w:t>
      </w:r>
    </w:p>
    <w:p>
      <w:pPr>
        <w:spacing w:before="80" w:after="40"/>
        <w:ind w:left="454"/>
      </w:pPr>
      <w:r>
        <w:rPr>
          <w:b/>
          <w:color w:val="6B7280"/>
          <w:sz w:val="19"/>
        </w:rPr>
        <w:t xml:space="preserve">Action required:  </w:t>
      </w:r>
      <w:r>
        <w:rPr>
          <w:color w:val="374151"/>
          <w:sz w:val="19"/>
        </w:rPr>
        <w:t>Add adset status snapshotting to the sync pipeline as a future sprint item.</w:t>
      </w:r>
    </w:p>
    <w:p>
      <w:pPr>
        <w:pBdr>
          <w:bottom w:val="single" w:sz="4" w:space="1" w:color="E5E7EB"/>
        </w:pBdr>
        <w:spacing w:before="0" w:after="0"/>
      </w:pPr>
    </w:p>
    <w:p/>
    <w:p>
      <w:pPr>
        <w:spacing w:before="160" w:after="160"/>
        <w:jc w:val="left"/>
      </w:pPr>
      <w:r>
        <w:rPr>
          <w:b/>
          <w:color w:val="111827"/>
          <w:sz w:val="28"/>
        </w:rPr>
        <w:t>Summary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304"/>
            <w:shd w:val="clear" w:color="auto" w:fill="1877F2"/>
          </w:tcPr>
          <w:p>
            <w:pPr>
              <w:spacing w:before="100" w:after="100"/>
              <w:jc w:val="center"/>
            </w:pPr>
            <w:r>
              <w:rPr>
                <w:b/>
                <w:color w:val="FFFFFF"/>
                <w:sz w:val="18"/>
              </w:rPr>
              <w:t>Field</w:t>
            </w:r>
          </w:p>
        </w:tc>
        <w:tc>
          <w:tcPr>
            <w:tcW w:type="dxa" w:w="1584"/>
            <w:shd w:val="clear" w:color="auto" w:fill="1877F2"/>
          </w:tcPr>
          <w:p>
            <w:pPr>
              <w:spacing w:before="100" w:after="100"/>
              <w:jc w:val="center"/>
            </w:pPr>
            <w:r>
              <w:rPr>
                <w:b/>
                <w:color w:val="FFFFFF"/>
                <w:sz w:val="18"/>
              </w:rPr>
              <w:t>Category</w:t>
            </w:r>
          </w:p>
        </w:tc>
        <w:tc>
          <w:tcPr>
            <w:tcW w:type="dxa" w:w="3168"/>
            <w:shd w:val="clear" w:color="auto" w:fill="1877F2"/>
          </w:tcPr>
          <w:p>
            <w:pPr>
              <w:spacing w:before="100" w:after="100"/>
              <w:jc w:val="center"/>
            </w:pPr>
            <w:r>
              <w:rPr>
                <w:b/>
                <w:color w:val="FFFFFF"/>
                <w:sz w:val="18"/>
              </w:rPr>
              <w:t>Root Cause</w:t>
            </w:r>
          </w:p>
        </w:tc>
        <w:tc>
          <w:tcPr>
            <w:tcW w:type="dxa" w:w="1584"/>
            <w:shd w:val="clear" w:color="auto" w:fill="1877F2"/>
          </w:tcPr>
          <w:p>
            <w:pPr>
              <w:spacing w:before="100" w:after="100"/>
              <w:jc w:val="center"/>
            </w:pPr>
            <w:r>
              <w:rPr>
                <w:b/>
                <w:color w:val="FFFFFF"/>
                <w:sz w:val="18"/>
              </w:rPr>
              <w:t>Action Owner</w:t>
            </w:r>
          </w:p>
        </w:tc>
        <w:tc>
          <w:tcPr>
            <w:tcW w:type="dxa" w:w="1152"/>
            <w:shd w:val="clear" w:color="auto" w:fill="1877F2"/>
          </w:tcPr>
          <w:p>
            <w:pPr>
              <w:spacing w:before="100" w:after="100"/>
              <w:jc w:val="center"/>
            </w:pPr>
            <w:r>
              <w:rPr>
                <w:b/>
                <w:color w:val="FFFFFF"/>
                <w:sz w:val="18"/>
              </w:rPr>
              <w:t>Effort</w:t>
            </w:r>
          </w:p>
        </w:tc>
      </w:tr>
      <w:tr>
        <w:tc>
          <w:tcPr>
            <w:tcW w:type="dxa" w:w="2304"/>
            <w:shd w:val="clear" w:color="auto" w:fill="F9FAFB"/>
          </w:tcPr>
          <w:p>
            <w:pPr>
              <w:spacing w:before="80" w:after="80"/>
              <w:jc w:val="left"/>
            </w:pPr>
            <w:r>
              <w:rPr>
                <w:b/>
                <w:color w:val="1F2937"/>
                <w:sz w:val="18"/>
              </w:rPr>
              <w:t>Retargeting CPP</w:t>
            </w:r>
          </w:p>
        </w:tc>
        <w:tc>
          <w:tcPr>
            <w:tcW w:type="dxa" w:w="1584"/>
            <w:shd w:val="clear" w:color="auto" w:fill="F9FAFB"/>
          </w:tcPr>
          <w:p>
            <w:pPr>
              <w:spacing w:before="80" w:after="80"/>
              <w:jc w:val="left"/>
            </w:pPr>
            <w:r>
              <w:rPr>
                <w:color w:val="92400E"/>
                <w:sz w:val="18"/>
              </w:rPr>
              <w:t>⚠️ Partial</w:t>
            </w:r>
          </w:p>
        </w:tc>
        <w:tc>
          <w:tcPr>
            <w:tcW w:type="dxa" w:w="3168"/>
            <w:shd w:val="clear" w:color="auto" w:fill="F9FAFB"/>
          </w:tcPr>
          <w:p>
            <w:pPr>
              <w:spacing w:before="80" w:after="80"/>
              <w:jc w:val="left"/>
            </w:pPr>
            <w:r>
              <w:rPr>
                <w:color w:val="1F2937"/>
                <w:sz w:val="18"/>
              </w:rPr>
              <w:t>No naming convention on ad sets</w:t>
            </w:r>
          </w:p>
        </w:tc>
        <w:tc>
          <w:tcPr>
            <w:tcW w:type="dxa" w:w="1584"/>
            <w:shd w:val="clear" w:color="auto" w:fill="F9FAFB"/>
          </w:tcPr>
          <w:p>
            <w:pPr>
              <w:spacing w:before="80" w:after="80"/>
              <w:jc w:val="left"/>
            </w:pPr>
            <w:r>
              <w:rPr>
                <w:color w:val="1F2937"/>
                <w:sz w:val="18"/>
              </w:rPr>
              <w:t>Media Buyer</w:t>
            </w:r>
          </w:p>
        </w:tc>
        <w:tc>
          <w:tcPr>
            <w:tcW w:type="dxa" w:w="1152"/>
            <w:shd w:val="clear" w:color="auto" w:fill="F9FAFB"/>
          </w:tcPr>
          <w:p>
            <w:pPr>
              <w:spacing w:before="80" w:after="80"/>
              <w:jc w:val="left"/>
            </w:pPr>
            <w:r>
              <w:rPr>
                <w:color w:val="1F2937"/>
                <w:sz w:val="18"/>
              </w:rPr>
              <w:t>Low</w:t>
            </w:r>
          </w:p>
        </w:tc>
      </w:tr>
      <w:tr>
        <w:tc>
          <w:tcPr>
            <w:tcW w:type="dxa" w:w="2304"/>
            <w:shd w:val="clear" w:color="auto" w:fill="FFFFFF"/>
          </w:tcPr>
          <w:p>
            <w:pPr>
              <w:spacing w:before="80" w:after="80"/>
              <w:jc w:val="left"/>
            </w:pPr>
            <w:r>
              <w:rPr>
                <w:b/>
                <w:color w:val="1F2937"/>
                <w:sz w:val="18"/>
              </w:rPr>
              <w:t>Broad Audience CPP</w:t>
            </w:r>
          </w:p>
        </w:tc>
        <w:tc>
          <w:tcPr>
            <w:tcW w:type="dxa" w:w="1584"/>
            <w:shd w:val="clear" w:color="auto" w:fill="FFFFFF"/>
          </w:tcPr>
          <w:p>
            <w:pPr>
              <w:spacing w:before="80" w:after="80"/>
              <w:jc w:val="left"/>
            </w:pPr>
            <w:r>
              <w:rPr>
                <w:color w:val="92400E"/>
                <w:sz w:val="18"/>
              </w:rPr>
              <w:t>⚠️ Partial</w:t>
            </w:r>
          </w:p>
        </w:tc>
        <w:tc>
          <w:tcPr>
            <w:tcW w:type="dxa" w:w="3168"/>
            <w:shd w:val="clear" w:color="auto" w:fill="FFFFFF"/>
          </w:tcPr>
          <w:p>
            <w:pPr>
              <w:spacing w:before="80" w:after="80"/>
              <w:jc w:val="left"/>
            </w:pPr>
            <w:r>
              <w:rPr>
                <w:color w:val="1F2937"/>
                <w:sz w:val="18"/>
              </w:rPr>
              <w:t>No naming convention on ad sets</w:t>
            </w:r>
          </w:p>
        </w:tc>
        <w:tc>
          <w:tcPr>
            <w:tcW w:type="dxa" w:w="1584"/>
            <w:shd w:val="clear" w:color="auto" w:fill="FFFFFF"/>
          </w:tcPr>
          <w:p>
            <w:pPr>
              <w:spacing w:before="80" w:after="80"/>
              <w:jc w:val="left"/>
            </w:pPr>
            <w:r>
              <w:rPr>
                <w:color w:val="1F2937"/>
                <w:sz w:val="18"/>
              </w:rPr>
              <w:t>Media Buyer</w:t>
            </w:r>
          </w:p>
        </w:tc>
        <w:tc>
          <w:tcPr>
            <w:tcW w:type="dxa" w:w="1152"/>
            <w:shd w:val="clear" w:color="auto" w:fill="FFFFFF"/>
          </w:tcPr>
          <w:p>
            <w:pPr>
              <w:spacing w:before="80" w:after="80"/>
              <w:jc w:val="left"/>
            </w:pPr>
            <w:r>
              <w:rPr>
                <w:color w:val="1F2937"/>
                <w:sz w:val="18"/>
              </w:rPr>
              <w:t>Low</w:t>
            </w:r>
          </w:p>
        </w:tc>
      </w:tr>
      <w:tr>
        <w:tc>
          <w:tcPr>
            <w:tcW w:type="dxa" w:w="2304"/>
            <w:shd w:val="clear" w:color="auto" w:fill="F9FAFB"/>
          </w:tcPr>
          <w:p>
            <w:pPr>
              <w:spacing w:before="80" w:after="80"/>
              <w:jc w:val="left"/>
            </w:pPr>
            <w:r>
              <w:rPr>
                <w:b/>
                <w:color w:val="1F2937"/>
                <w:sz w:val="18"/>
              </w:rPr>
              <w:t>CBO Budget Distribution</w:t>
            </w:r>
          </w:p>
        </w:tc>
        <w:tc>
          <w:tcPr>
            <w:tcW w:type="dxa" w:w="1584"/>
            <w:shd w:val="clear" w:color="auto" w:fill="F9FAFB"/>
          </w:tcPr>
          <w:p>
            <w:pPr>
              <w:spacing w:before="80" w:after="80"/>
              <w:jc w:val="left"/>
            </w:pPr>
            <w:r>
              <w:rPr>
                <w:color w:val="92400E"/>
                <w:sz w:val="18"/>
              </w:rPr>
              <w:t>⚠️ Partial</w:t>
            </w:r>
          </w:p>
        </w:tc>
        <w:tc>
          <w:tcPr>
            <w:tcW w:type="dxa" w:w="3168"/>
            <w:shd w:val="clear" w:color="auto" w:fill="F9FAFB"/>
          </w:tcPr>
          <w:p>
            <w:pPr>
              <w:spacing w:before="80" w:after="80"/>
              <w:jc w:val="left"/>
            </w:pPr>
            <w:r>
              <w:rPr>
                <w:color w:val="1F2937"/>
                <w:sz w:val="18"/>
              </w:rPr>
              <w:t>CBO doesn't expose planned allocation</w:t>
            </w:r>
          </w:p>
        </w:tc>
        <w:tc>
          <w:tcPr>
            <w:tcW w:type="dxa" w:w="1584"/>
            <w:shd w:val="clear" w:color="auto" w:fill="F9FAFB"/>
          </w:tcPr>
          <w:p>
            <w:pPr>
              <w:spacing w:before="80" w:after="80"/>
              <w:jc w:val="left"/>
            </w:pPr>
            <w:r>
              <w:rPr>
                <w:color w:val="1F2937"/>
                <w:sz w:val="18"/>
              </w:rPr>
              <w:t>Engineering</w:t>
            </w:r>
          </w:p>
        </w:tc>
        <w:tc>
          <w:tcPr>
            <w:tcW w:type="dxa" w:w="1152"/>
            <w:shd w:val="clear" w:color="auto" w:fill="F9FAFB"/>
          </w:tcPr>
          <w:p>
            <w:pPr>
              <w:spacing w:before="80" w:after="80"/>
              <w:jc w:val="left"/>
            </w:pPr>
            <w:r>
              <w:rPr>
                <w:color w:val="1F2937"/>
                <w:sz w:val="18"/>
              </w:rPr>
              <w:t>Low</w:t>
            </w:r>
          </w:p>
        </w:tc>
      </w:tr>
      <w:tr>
        <w:tc>
          <w:tcPr>
            <w:tcW w:type="dxa" w:w="2304"/>
            <w:shd w:val="clear" w:color="auto" w:fill="FFFFFF"/>
          </w:tcPr>
          <w:p>
            <w:pPr>
              <w:spacing w:before="80" w:after="80"/>
              <w:jc w:val="left"/>
            </w:pPr>
            <w:r>
              <w:rPr>
                <w:b/>
                <w:color w:val="1F2937"/>
                <w:sz w:val="18"/>
              </w:rPr>
              <w:t>Ad Sets Paused / Killed</w:t>
            </w:r>
          </w:p>
        </w:tc>
        <w:tc>
          <w:tcPr>
            <w:tcW w:type="dxa" w:w="1584"/>
            <w:shd w:val="clear" w:color="auto" w:fill="FFFFFF"/>
          </w:tcPr>
          <w:p>
            <w:pPr>
              <w:spacing w:before="80" w:after="80"/>
              <w:jc w:val="left"/>
            </w:pPr>
            <w:r>
              <w:rPr>
                <w:color w:val="991B1B"/>
                <w:sz w:val="18"/>
              </w:rPr>
              <w:t>❌ Unavailable</w:t>
            </w:r>
          </w:p>
        </w:tc>
        <w:tc>
          <w:tcPr>
            <w:tcW w:type="dxa" w:w="3168"/>
            <w:shd w:val="clear" w:color="auto" w:fill="FFFFFF"/>
          </w:tcPr>
          <w:p>
            <w:pPr>
              <w:spacing w:before="80" w:after="80"/>
              <w:jc w:val="left"/>
            </w:pPr>
            <w:r>
              <w:rPr>
                <w:color w:val="1F2937"/>
                <w:sz w:val="18"/>
              </w:rPr>
              <w:t>No adset status history in database</w:t>
            </w:r>
          </w:p>
        </w:tc>
        <w:tc>
          <w:tcPr>
            <w:tcW w:type="dxa" w:w="1584"/>
            <w:shd w:val="clear" w:color="auto" w:fill="FFFFFF"/>
          </w:tcPr>
          <w:p>
            <w:pPr>
              <w:spacing w:before="80" w:after="80"/>
              <w:jc w:val="left"/>
            </w:pPr>
            <w:r>
              <w:rPr>
                <w:color w:val="1F2937"/>
                <w:sz w:val="18"/>
              </w:rPr>
              <w:t>Engineering</w:t>
            </w:r>
          </w:p>
        </w:tc>
        <w:tc>
          <w:tcPr>
            <w:tcW w:type="dxa" w:w="1152"/>
            <w:shd w:val="clear" w:color="auto" w:fill="FFFFFF"/>
          </w:tcPr>
          <w:p>
            <w:pPr>
              <w:spacing w:before="80" w:after="80"/>
              <w:jc w:val="left"/>
            </w:pPr>
            <w:r>
              <w:rPr>
                <w:color w:val="1F2937"/>
                <w:sz w:val="18"/>
              </w:rPr>
              <w:t>Medium</w:t>
            </w:r>
          </w:p>
        </w:tc>
      </w:tr>
    </w:tbl>
    <w:p/>
    <w:p>
      <w:pPr>
        <w:spacing w:before="160" w:after="160"/>
        <w:jc w:val="left"/>
      </w:pPr>
      <w:r>
        <w:rPr>
          <w:b/>
          <w:color w:val="111827"/>
          <w:sz w:val="28"/>
        </w:rPr>
        <w:t>Next Steps</w:t>
      </w:r>
    </w:p>
    <w:p>
      <w:pPr>
        <w:spacing w:before="60" w:after="60"/>
        <w:ind w:left="283"/>
      </w:pPr>
      <w:r>
        <w:rPr>
          <w:b/>
          <w:color w:val="1F2937"/>
          <w:sz w:val="20"/>
        </w:rPr>
        <w:t xml:space="preserve">1.  [Media Buyer]  </w:t>
      </w:r>
      <w:r>
        <w:rPr>
          <w:color w:val="374151"/>
          <w:sz w:val="20"/>
        </w:rPr>
        <w:t>Apply naming conventions (RET, BROAD, LAL, COLD) to all active ad sets — unlocks Retargeting CPP and Broad CPP immediately with no engineering work.</w:t>
      </w:r>
    </w:p>
    <w:p>
      <w:pPr>
        <w:spacing w:before="60" w:after="60"/>
        <w:ind w:left="283"/>
      </w:pPr>
      <w:r>
        <w:rPr>
          <w:b/>
          <w:color w:val="1F2937"/>
          <w:sz w:val="20"/>
        </w:rPr>
        <w:t xml:space="preserve">2.  [Engineering]  </w:t>
      </w:r>
      <w:r>
        <w:rPr>
          <w:color w:val="374151"/>
          <w:sz w:val="20"/>
        </w:rPr>
        <w:t>Implement adset status snapshotting in the sync pipeline — unlocks Ad Sets Paused / Killed.</w:t>
      </w:r>
    </w:p>
    <w:p>
      <w:pPr>
        <w:spacing w:before="60" w:after="60"/>
        <w:ind w:left="283"/>
      </w:pPr>
      <w:r>
        <w:rPr>
          <w:b/>
          <w:color w:val="1F2937"/>
          <w:sz w:val="20"/>
        </w:rPr>
        <w:t xml:space="preserve">3.  [Product]  </w:t>
      </w:r>
      <w:r>
        <w:rPr>
          <w:color w:val="374151"/>
          <w:sz w:val="20"/>
        </w:rPr>
        <w:t>Decide whether CBO Distribution should be surfaced as 'Actual Spend Share' with a disclaimer, and schedule accordingly.</w:t>
      </w:r>
    </w:p>
    <w:p/>
    <w:p>
      <w:pPr>
        <w:pBdr>
          <w:bottom w:val="single" w:sz="4" w:space="1" w:color="E5E7EB"/>
        </w:pBdr>
        <w:spacing w:before="0" w:after="0"/>
      </w:pPr>
    </w:p>
    <w:p>
      <w:pPr>
        <w:spacing w:before="120" w:after="120"/>
        <w:jc w:val="center"/>
      </w:pPr>
      <w:r>
        <w:rPr>
          <w:b w:val="0"/>
          <w:color w:val="9CA3AF"/>
          <w:sz w:val="18"/>
        </w:rPr>
        <w:t>This document will be updated as fields are resolved and moved to active status.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