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Artwork’s 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Equipments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Spatial Needs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Titles in original languages with the English translation in parenthesis (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You may enter an exact date, a date range, or indicate “circa.” This will be displayed as “ca. [year].”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rFonts w:ascii="Helvetica Neue" w:cs="Helvetica Neue" w:eastAsia="Helvetica Neue" w:hAnsi="Helvetica Neue"/>
                <w:color w:val="1155cc"/>
                <w:sz w:val="14"/>
                <w:szCs w:val="14"/>
                <w:u w:val="single"/>
              </w:rPr>
            </w:pPr>
            <w:r w:rsidDel="00000000" w:rsidR="00000000" w:rsidRPr="00000000">
              <w:fldChar w:fldCharType="begin"/>
              <w:instrText xml:space="preserve"> HYPERLINK "https://docs.google.com/document/d/1BCMRd1i1gBC3QLQRgUbdr2NovkSM8K0xoJLwaWkVamc/edit#heading=h.x2trjsku226f" </w:instrText>
              <w:fldChar w:fldCharType="separate"/>
            </w:r>
            <w:r w:rsidDel="00000000" w:rsidR="00000000" w:rsidRPr="00000000">
              <w:rPr>
                <w:rFonts w:ascii="Helvetica Neue" w:cs="Helvetica Neue" w:eastAsia="Helvetica Neue" w:hAnsi="Helvetica Neue"/>
                <w:color w:val="1155cc"/>
                <w:sz w:val="14"/>
                <w:szCs w:val="14"/>
                <w:u w:val="single"/>
                <w:rtl w:val="0"/>
              </w:rPr>
              <w:t xml:space="preserve">Every work must have a Concept/Statement that provides context and insight into the artwork. It's essentially one of the ways for you as an artist to communicate with viewers about your intentions, inspirations, and processes behind the creation of the art. This will later appear on the floor plan.</w:t>
            </w:r>
          </w:p>
          <w:p w:rsidR="00000000" w:rsidDel="00000000" w:rsidP="00000000" w:rsidRDefault="00000000" w:rsidRPr="00000000" w14:paraId="00000012">
            <w:pPr>
              <w:widowControl w:val="0"/>
              <w:jc w:val="center"/>
              <w:rPr>
                <w:rFonts w:ascii="Helvetica Neue" w:cs="Helvetica Neue" w:eastAsia="Helvetica Neue" w:hAnsi="Helvetica Neue"/>
                <w:color w:val="1155cc"/>
                <w:sz w:val="14"/>
                <w:szCs w:val="14"/>
                <w:u w:val="single"/>
              </w:rPr>
            </w:pPr>
            <w:r w:rsidDel="00000000" w:rsidR="00000000" w:rsidRPr="00000000">
              <w:rPr>
                <w:rtl w:val="0"/>
              </w:rPr>
            </w:r>
          </w:p>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color w:val="1155cc"/>
                <w:sz w:val="14"/>
                <w:szCs w:val="14"/>
                <w:u w:val="single"/>
                <w:rtl w:val="0"/>
              </w:rPr>
              <w:t xml:space="preserve">Below the table, you can find some helpful information to guide you at this point.</w:t>
            </w:r>
            <w:r w:rsidDel="00000000" w:rsidR="00000000" w:rsidRPr="00000000">
              <w:fldChar w:fldCharType="end"/>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Every work must have a Medium Type in addition such as “Print”, “Painting”, “Video Art”, “Performance”, “Photography” etc. Select the most specific category. For prints, please use “Print”, not “Drawing, Collage, or Other Work on Paper.” If multiple categories may apply, use “Mixed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Provide specific information about materials and techniques (i.e. “Oil on canvas”, “Plastic bottles, driftwood and fishing line”). If the work is a “Film/Video/Animation”, please enter the number of video channels, resolution (i.e. “SD”, “HD”), color/B&amp;W, subtitles (yes/no), sound/silent, number of audio channels, duration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Enter dimensions as height, width, and depth (H, W, D). To demonstrate that an artwork has variable dimensions, add the dimensions either for the biggest part or the smallest part of the group.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Equipments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14"/>
                <w:szCs w:val="14"/>
                <w:rtl w:val="0"/>
              </w:rPr>
              <w:t xml:space="preserve">- dark room?</w:t>
            </w:r>
          </w:p>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 sound?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Installation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4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5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5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5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6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 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 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 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B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B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B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painting, wood, metal, imitation tiles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E8">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E">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F4">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F5">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F6">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F7">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F8">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F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A">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10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10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0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0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1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9">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rFonts w:ascii="Helvetica Neue" w:cs="Helvetica Neue" w:eastAsia="Helvetica Neue" w:hAnsi="Helvetica Neue"/>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2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0">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5">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Light Installation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Acrylic, TPU, Aluminium profile,</w:t>
            </w:r>
          </w:p>
          <w:p w:rsidR="00000000" w:rsidDel="00000000" w:rsidP="00000000" w:rsidRDefault="00000000" w:rsidRPr="00000000" w14:paraId="00000138">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Polarization Filters,Light Panels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600x600x185cm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C">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 Katja 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 +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modified refurbished episcope projector, Sphagnum moss, paper, petri dishes, grow light, water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50x50x50cm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3">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5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0">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6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D">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7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4">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A">
            <w:pPr>
              <w:widowControl w:val="0"/>
              <w:rPr>
                <w:sz w:val="20"/>
                <w:szCs w:val="20"/>
              </w:rPr>
            </w:pP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91">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2">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93">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4">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95">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96">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97">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98">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99">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9A">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9B">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9C">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9D">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9E">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9F">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A0">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A1">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A2">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A3">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A4">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A5">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A6">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A7">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A8">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A9">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A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B">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C">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D">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E">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F">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0">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1">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