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 A"/>
        <w:keepNext w:val="1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Dokumentation der Digitaltauglichkeit</w:t>
      </w:r>
    </w:p>
    <w:p>
      <w:pPr>
        <w:pStyle w:val="Normal0"/>
      </w:pPr>
      <w:r>
        <w:rPr>
          <w:rStyle w:val="None B"/>
          <w:rtl w:val="0"/>
          <w:lang w:val="de-DE"/>
        </w:rPr>
        <w:t>Die Dokumentation der Digitaltauglichkeit ist ein formeller, letzter Schritt. Sie dokumentieren, auf welche Aspekte der Digitaltauglichkeit Sie besonders geachtet haben, und wie diese in das Regelungsvorhaben eingeflossen sind.</w:t>
      </w:r>
    </w:p>
    <w:tbl>
      <w:tblPr>
        <w:tblW w:w="9072" w:type="dxa"/>
        <w:jc w:val="left"/>
        <w:tblInd w:w="86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5"/>
        <w:gridCol w:w="3757"/>
      </w:tblGrid>
      <w:tr>
        <w:tblPrEx>
          <w:shd w:val="clear" w:color="auto" w:fill="cad1d7"/>
        </w:tblPrEx>
        <w:trPr>
          <w:trHeight w:val="7129" w:hRule="atLeast"/>
        </w:trPr>
        <w:tc>
          <w:tcPr>
            <w:tcW w:type="dxa" w:w="53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ing 2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de-DE"/>
              </w:rPr>
              <w:t>So funktioniert es</w:t>
            </w:r>
          </w:p>
          <w:p>
            <w:pPr>
              <w:pStyle w:val="List Paragraph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Bearbeiten Sie die Dokumentation.</w:t>
            </w:r>
          </w:p>
          <w:p>
            <w:pPr>
              <w:pStyle w:val="List Paragraph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Senden Sie die ausgef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 xml:space="preserve">llte Dokumentation an </w:t>
            </w:r>
            <w:r>
              <w:rPr>
                <w:shd w:val="nil" w:color="auto" w:fill="auto"/>
                <w:rtl w:val="0"/>
                <w:lang w:val="de-DE"/>
              </w:rPr>
              <w:t>Ihre zust</w:t>
            </w:r>
            <w:r>
              <w:rPr>
                <w:shd w:val="nil" w:color="auto" w:fill="auto"/>
                <w:rtl w:val="0"/>
                <w:lang w:val="de-DE"/>
              </w:rPr>
              <w:t>ä</w:t>
            </w:r>
            <w:r>
              <w:rPr>
                <w:shd w:val="nil" w:color="auto" w:fill="auto"/>
                <w:rtl w:val="0"/>
                <w:lang w:val="de-DE"/>
              </w:rPr>
              <w:t>ndige 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fstelle. Sollte es keine 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fstelle geben, dient die Dokumentation zur Selbstpr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fung.</w:t>
            </w:r>
            <w:r>
              <w:rPr>
                <w:shd w:val="nil" w:color="auto" w:fill="auto"/>
                <w:rtl w:val="0"/>
                <w:lang w:val="de-DE"/>
              </w:rPr>
              <w:t>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F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 xml:space="preserve">r Bundesebene: </w:t>
            </w:r>
            <w:r>
              <w:rPr>
                <w:shd w:val="nil" w:color="auto" w:fill="auto"/>
                <w:rtl w:val="0"/>
                <w:lang w:val="de-DE"/>
              </w:rPr>
              <w:t xml:space="preserve">Senden Sie die Dokumentation </w:t>
            </w:r>
            <w:r>
              <w:rPr>
                <w:b w:val="1"/>
                <w:bCs w:val="1"/>
                <w:shd w:val="nil" w:color="auto" w:fill="auto"/>
                <w:rtl w:val="0"/>
                <w:lang w:val="de-DE"/>
              </w:rPr>
              <w:t>als PDF per E-Mail</w:t>
            </w:r>
            <w:r>
              <w:rPr>
                <w:shd w:val="nil" w:color="auto" w:fill="auto"/>
                <w:rtl w:val="0"/>
                <w:lang w:val="de-DE"/>
              </w:rPr>
              <w:t xml:space="preserve"> an folgende Adresse: </w:t>
            </w:r>
            <w:r>
              <w:rPr>
                <w:outline w:val="0"/>
                <w:color w:val="0563c1"/>
                <w:u w:val="single" w:color="0563c1"/>
                <w:shd w:val="nil" w:color="auto" w:fill="auto"/>
                <w:rtl w:val="0"/>
                <w:lang w:val="de-DE"/>
                <w14:textFill>
                  <w14:solidFill>
                    <w14:srgbClr w14:val="0563C1"/>
                  </w14:solidFill>
                </w14:textFill>
              </w:rPr>
              <w:t>{{NKR_CONTACT_EMAIL}}</w:t>
            </w:r>
            <w:r>
              <w:rPr>
                <w:shd w:val="nil" w:color="auto" w:fill="auto"/>
                <w:rtl w:val="0"/>
                <w:lang w:val="de-DE"/>
              </w:rPr>
              <w:t>. Der NKR 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ft die methodische und inhaltliche Nachvollziehbarkeit. Bei Fragen wird der NKR auf Sie zukommen. Das Ziel ist eine digital- und praxistaugliche Umsetzung.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F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r Landesebene: Bitte informieren Sie sich auf Ihrer Landes-Unterseite, wie Sie mit der Dokumentation weiter verfahren.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de-DE"/>
              </w:rPr>
              <w:t>Visualisierungen</w:t>
            </w:r>
            <w:r>
              <w:rPr>
                <w:shd w:val="nil" w:color="auto" w:fill="auto"/>
                <w:rtl w:val="0"/>
                <w:lang w:val="de-DE"/>
              </w:rPr>
              <w:t xml:space="preserve"> und Skizzen sind vom NKR</w:t>
            </w:r>
            <w:r>
              <w:rPr>
                <w:shd w:val="nil" w:color="auto" w:fill="auto"/>
                <w:rtl w:val="0"/>
                <w:lang w:val="de-DE"/>
              </w:rPr>
              <w:t xml:space="preserve"> und weiteren Pr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fstellen</w:t>
            </w:r>
            <w:r>
              <w:rPr>
                <w:shd w:val="nil" w:color="auto" w:fill="auto"/>
                <w:rtl w:val="0"/>
                <w:lang w:val="de-DE"/>
              </w:rPr>
              <w:t xml:space="preserve"> gern gesehen. H</w:t>
            </w:r>
            <w:r>
              <w:rPr>
                <w:shd w:val="nil" w:color="auto" w:fill="auto"/>
                <w:rtl w:val="0"/>
                <w:lang w:val="de-DE"/>
              </w:rPr>
              <w:t>ä</w:t>
            </w:r>
            <w:r>
              <w:rPr>
                <w:shd w:val="nil" w:color="auto" w:fill="auto"/>
                <w:rtl w:val="0"/>
                <w:lang w:val="de-DE"/>
              </w:rPr>
              <w:t>ngen Sie diese formlos als PDF oder als Screenshot an.</w:t>
            </w:r>
          </w:p>
          <w:p>
            <w:pPr>
              <w:pStyle w:val="List Paragraph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rtl w:val="0"/>
                <w:lang w:val="de-DE"/>
              </w:rPr>
              <w:t xml:space="preserve">Bei </w:t>
            </w:r>
            <w:r>
              <w:rPr>
                <w:b w:val="1"/>
                <w:bCs w:val="1"/>
                <w:rtl w:val="0"/>
                <w:lang w:val="de-DE"/>
              </w:rPr>
              <w:t>Interoperabilit</w:t>
            </w:r>
            <w:r>
              <w:rPr>
                <w:b w:val="1"/>
                <w:bCs w:val="1"/>
                <w:rtl w:val="0"/>
                <w:lang w:val="de-DE"/>
              </w:rPr>
              <w:t>ä</w:t>
            </w:r>
            <w:r>
              <w:rPr>
                <w:b w:val="1"/>
                <w:bCs w:val="1"/>
                <w:rtl w:val="0"/>
                <w:lang w:val="de-DE"/>
              </w:rPr>
              <w:t>tsbezug</w:t>
            </w:r>
            <w:r>
              <w:rPr>
                <w:rtl w:val="0"/>
                <w:lang w:val="de-DE"/>
              </w:rPr>
              <w:t xml:space="preserve"> senden Sie eine Kopie der E-Mail mit der Dokumentation an </w:t>
            </w:r>
            <w:r>
              <w:rPr>
                <w:outline w:val="0"/>
                <w:color w:val="0563c1"/>
                <w:u w:val="single" w:color="0563c1"/>
                <w:rtl w:val="0"/>
                <w:lang w:val="de-DE"/>
                <w14:textFill>
                  <w14:solidFill>
                    <w14:srgbClr w14:val="0563C1"/>
                  </w14:solidFill>
                </w14:textFill>
              </w:rPr>
              <w:t>{{INTEROPS_EMAIL}}</w:t>
            </w:r>
            <w:r>
              <w:rPr>
                <w:rtl w:val="0"/>
                <w:lang w:val="de-DE"/>
              </w:rPr>
              <w:t>.</w:t>
            </w:r>
          </w:p>
        </w:tc>
        <w:tc>
          <w:tcPr>
            <w:tcW w:type="dxa" w:w="3757"/>
            <w:tcBorders>
              <w:top w:val="nil"/>
              <w:left w:val="nil"/>
              <w:bottom w:val="nil"/>
              <w:right w:val="nil"/>
            </w:tcBorders>
            <w:shd w:val="clear" w:color="auto" w:fill="fff9d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ing 2"/>
              <w:spacing w:line="276" w:lineRule="auto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de-DE"/>
              </w:rPr>
              <w:t>Tipps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F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llen Sie eine Dokumentation f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r alle inhaltlich zusammenh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ä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ngenden Regelungen eines Vorhabens aus.</w:t>
            </w:r>
          </w:p>
          <w:p>
            <w:pPr>
              <w:pStyle w:val="Normal0"/>
              <w:bidi w:val="0"/>
              <w:spacing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Damit sparen Sie sich Zeit, und der NKR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/die Pr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fstelle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 xml:space="preserve"> kann Zusammenh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ä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nge besser erkennen.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Holen Sie sich eine zweite Meinung ein.</w:t>
            </w:r>
          </w:p>
          <w:p>
            <w:pPr>
              <w:pStyle w:val="Normal0"/>
              <w:bidi w:val="0"/>
              <w:spacing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Senden Sie das fertige Dokument oder einen Zwischenstand an eine Kollegin oder einen Kollegen.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sz w:val="16"/>
                <w:szCs w:val="16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Nehmen Sie Ihre Visualisierung als Grundlage</w:t>
            </w:r>
          </w:p>
          <w:p>
            <w:pPr>
              <w:pStyle w:val="Normal0"/>
              <w:bidi w:val="0"/>
              <w:spacing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Wenn Sie in Ihrer Visualisierung die F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nf Prinzipien bereits angewendet haben, k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ö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nnen Sie diese Punkte als Ausgangslage f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r die Beantwortung der Fragen nutzen.</w:t>
            </w:r>
            <w:r>
              <w:rPr>
                <w:sz w:val="16"/>
                <w:szCs w:val="16"/>
                <w:shd w:val="nil" w:color="auto" w:fill="auto"/>
                <w:lang w:val="de-DE"/>
              </w:rPr>
              <w:br w:type="textWrapping"/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Senden Sie die Visualisierung zum Schluss mit an den NKR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/die Pr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fstelle</w:t>
            </w:r>
            <w:r>
              <w:rPr>
                <w:sz w:val="16"/>
                <w:szCs w:val="16"/>
                <w:shd w:val="nil" w:color="auto" w:fill="auto"/>
                <w:rtl w:val="0"/>
                <w:lang w:val="de-DE"/>
              </w:rPr>
              <w:t>.</w:t>
            </w:r>
          </w:p>
        </w:tc>
      </w:tr>
    </w:tbl>
    <w:p>
      <w:pPr>
        <w:pStyle w:val="Normal0"/>
        <w:widowControl w:val="0"/>
        <w:spacing w:line="240" w:lineRule="auto"/>
        <w:ind w:left="756" w:hanging="756"/>
      </w:pPr>
    </w:p>
    <w:p>
      <w:pPr>
        <w:pStyle w:val="Normal0"/>
        <w:widowControl w:val="0"/>
        <w:spacing w:line="240" w:lineRule="auto"/>
        <w:ind w:left="648" w:hanging="648"/>
      </w:pPr>
    </w:p>
    <w:p>
      <w:pPr>
        <w:pStyle w:val="Normal0"/>
        <w:widowControl w:val="0"/>
        <w:spacing w:line="240" w:lineRule="auto"/>
        <w:ind w:left="540" w:hanging="540"/>
      </w:pPr>
    </w:p>
    <w:p>
      <w:pPr>
        <w:pStyle w:val="Normal0"/>
        <w:widowControl w:val="0"/>
        <w:spacing w:line="240" w:lineRule="auto"/>
        <w:ind w:left="432" w:hanging="432"/>
      </w:pPr>
    </w:p>
    <w:p>
      <w:pPr>
        <w:pStyle w:val="Normal0"/>
        <w:widowControl w:val="0"/>
        <w:spacing w:line="240" w:lineRule="auto"/>
        <w:ind w:left="324" w:hanging="324"/>
      </w:pPr>
    </w:p>
    <w:p>
      <w:pPr>
        <w:pStyle w:val="Normal0"/>
        <w:widowControl w:val="0"/>
        <w:spacing w:line="240" w:lineRule="auto"/>
        <w:ind w:left="216" w:hanging="216"/>
      </w:pPr>
    </w:p>
    <w:p>
      <w:pPr>
        <w:pStyle w:val="Normal0"/>
        <w:widowControl w:val="0"/>
        <w:spacing w:line="240" w:lineRule="auto"/>
        <w:ind w:left="108" w:hanging="108"/>
      </w:pPr>
    </w:p>
    <w:p>
      <w:pPr>
        <w:pStyle w:val="Normal0"/>
        <w:widowControl w:val="0"/>
        <w:spacing w:line="240" w:lineRule="auto"/>
      </w:pP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  <w:spacing w:before="480"/>
        <w:rPr>
          <w:shd w:val="clear" w:color="auto" w:fill="00ff00"/>
        </w:rPr>
      </w:pPr>
    </w:p>
    <w:p>
      <w:pPr>
        <w:pStyle w:val="heading 1"/>
        <w:spacing w:before="720"/>
      </w:pPr>
      <w:r>
        <w:rPr>
          <w:b w:val="1"/>
          <w:bCs w:val="1"/>
          <w:rtl w:val="0"/>
          <w:lang w:val="de-DE"/>
        </w:rPr>
        <w:t>1. Ihr Regelungsvorhaben</w:t>
      </w:r>
    </w:p>
    <w:p>
      <w:pPr>
        <w:pStyle w:val="heading 2"/>
      </w:pPr>
      <w:r>
        <w:rPr>
          <w:rStyle w:val="None B"/>
          <w:rtl w:val="0"/>
          <w:lang w:val="de-DE"/>
        </w:rPr>
        <w:t>Tragen Sie den Titel Ihres Regelungsvorhabens ein</w:t>
      </w:r>
    </w:p>
    <w:p>
      <w:pPr>
        <w:pStyle w:val="Textbox"/>
      </w:pPr>
      <w:r>
        <w:rPr>
          <w:rStyle w:val="None B"/>
          <w:rtl w:val="0"/>
          <w:lang w:val="de-DE"/>
        </w:rPr>
        <w:t>{{POLICY_TITLE}}</w:t>
      </w:r>
    </w:p>
    <w:p>
      <w:pPr>
        <w:pStyle w:val="heading 2"/>
      </w:pPr>
      <w:r>
        <w:rPr>
          <w:rStyle w:val="None B"/>
          <w:rtl w:val="0"/>
          <w:lang w:val="de-DE"/>
        </w:rPr>
        <w:t>Ministerium / Organisation</w:t>
      </w:r>
    </w:p>
    <w:p>
      <w:pPr>
        <w:pStyle w:val="Textbox"/>
        <w:rPr>
          <w:sz w:val="24"/>
          <w:szCs w:val="24"/>
        </w:rPr>
      </w:pPr>
      <w:r>
        <w:rPr>
          <w:rStyle w:val="None B"/>
          <w:rtl w:val="0"/>
          <w:lang w:val="de-DE"/>
        </w:rPr>
        <w:t>{{POLICY_ORGANIZATION}}</w:t>
      </w:r>
    </w:p>
    <w:p>
      <w:pPr>
        <w:pStyle w:val="heading 1"/>
        <w:spacing w:before="600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2. Auswirkungen auf Betroffene und an der Umsetzung Beteiligte</w:t>
      </w:r>
    </w:p>
    <w:p>
      <w:pPr>
        <w:pStyle w:val="Normal0"/>
        <w:keepNext w:val="1"/>
        <w:rPr>
          <w:outline w:val="0"/>
          <w:color w:val="595959"/>
          <w:sz w:val="32"/>
          <w:szCs w:val="32"/>
          <w:u w:color="595959"/>
          <w14:textFill>
            <w14:solidFill>
              <w14:srgbClr w14:val="595959"/>
            </w14:solidFill>
          </w14:textFill>
        </w:rPr>
      </w:pP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Ihr Regelungsvorhaben sollte sowohl den Bed</w:t>
      </w: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ü</w:t>
      </w: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rfnissen der Betroffenen als auch den Anforderungen der Umsetzung (z. B. in Beh</w:t>
      </w: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ö</w:t>
      </w: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rden) gerecht werden.</w:t>
      </w:r>
    </w:p>
    <w:p>
      <w:pPr>
        <w:pStyle w:val="heading 2"/>
      </w:pPr>
      <w:r>
        <w:rPr>
          <w:rStyle w:val="None B"/>
          <w:rtl w:val="0"/>
          <w:lang w:val="de-DE"/>
        </w:rPr>
        <w:t>Entspricht die Umsetzung des Regelungsvorhabens den Bed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 xml:space="preserve">rfnissen der Betroffenen? Wie haben Sie das 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berpr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ft?</w:t>
      </w:r>
    </w:p>
    <w:p>
      <w:pPr>
        <w:pStyle w:val="Textbox"/>
      </w:pPr>
      <w:r>
        <w:rPr>
          <w:rStyle w:val="None B"/>
          <w:rtl w:val="0"/>
          <w:lang w:val="de-DE"/>
        </w:rPr>
        <w:t>{{PARTICIPATION_FORMATS}}</w:t>
      </w:r>
    </w:p>
    <w:p>
      <w:pPr>
        <w:pStyle w:val="heading 2"/>
      </w:pPr>
      <w:r>
        <w:rPr>
          <w:rStyle w:val="None B"/>
          <w:rtl w:val="0"/>
          <w:lang w:val="de-DE"/>
        </w:rPr>
        <w:t>Wie spiegeln sich die Erkenntnisse, die durch die oben genannten Schritte gewonnen wurde, im Regelungsvorhaben wider?</w:t>
      </w:r>
    </w:p>
    <w:p>
      <w:pPr>
        <w:pStyle w:val="Textbox"/>
      </w:pPr>
      <w:r>
        <w:rPr>
          <w:rStyle w:val="None B"/>
          <w:rtl w:val="0"/>
          <w:lang w:val="de-DE"/>
        </w:rPr>
        <w:t>{{PARTICIPATION_RESULTS}}</w:t>
      </w:r>
    </w:p>
    <w:p>
      <w:pPr>
        <w:pStyle w:val="Normal0"/>
        <w:rPr>
          <w:sz w:val="32"/>
          <w:szCs w:val="32"/>
        </w:rPr>
      </w:pPr>
      <w:r>
        <w:rPr>
          <w:sz w:val="32"/>
          <w:szCs w:val="32"/>
        </w:rPr>
        <w:br w:type="textWrapping"/>
      </w:r>
      <w:r>
        <w:rPr>
          <w:b w:val="1"/>
          <w:bCs w:val="1"/>
          <w:sz w:val="32"/>
          <w:szCs w:val="32"/>
          <w:rtl w:val="0"/>
          <w:lang w:val="de-DE"/>
        </w:rPr>
        <w:t xml:space="preserve">3. </w:t>
      </w:r>
      <w:bookmarkStart w:name="digitaleangebotefrallenutzbargestalten" w:id="0"/>
      <w:r>
        <w:rPr>
          <w:b w:val="1"/>
          <w:bCs w:val="1"/>
          <w:sz w:val="32"/>
          <w:szCs w:val="32"/>
          <w:rtl w:val="0"/>
          <w:lang w:val="de-DE"/>
        </w:rPr>
        <w:t>{{PRINCIPLE_1_TITLE}}</w:t>
      </w:r>
      <w:bookmarkEnd w:id="0"/>
    </w:p>
    <w:p>
      <w:pPr>
        <w:pStyle w:val="Normal0"/>
      </w:pPr>
      <w:r>
        <w:rPr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{{PRINCIPLE_1_DESCRIPTION}}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{{PRINCIPLE_1_ANSWER}}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4 weiter.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{{PRINCIPLE_1_ASPECTS_AVAILABLE}}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{{PRINCIPLE_1_ASPECTS}}</w:t>
      </w:r>
    </w:p>
    <w:p>
      <w:pPr>
        <w:pStyle w:val="Textbox Label"/>
        <w:ind w:left="720" w:firstLine="0"/>
        <w:rPr>
          <w:rStyle w:val="None B"/>
        </w:rPr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08" w:firstLine="0"/>
      </w:pPr>
      <w:r>
        <w:rPr>
          <w:rStyle w:val="None B"/>
          <w:rtl w:val="0"/>
          <w:lang w:val="de-DE"/>
        </w:rPr>
        <w:t>{{PRINCIPLE_1_REASONING}}</w:t>
      </w:r>
    </w:p>
    <w:p>
      <w:pPr>
        <w:pStyle w:val="Normal0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br w:type="textWrapping"/>
        <w:br w:type="textWrapping"/>
        <w:br w:type="textWrapping"/>
      </w:r>
      <w:r>
        <w:rPr>
          <w:b w:val="1"/>
          <w:bCs w:val="1"/>
          <w:sz w:val="32"/>
          <w:szCs w:val="32"/>
          <w:rtl w:val="0"/>
          <w:lang w:val="de-DE"/>
        </w:rPr>
        <w:t xml:space="preserve">4. </w:t>
      </w:r>
      <w:bookmarkStart w:name="datenwiederverwendungbentigteinheitliche" w:id="1"/>
      <w:r>
        <w:rPr>
          <w:b w:val="1"/>
          <w:bCs w:val="1"/>
          <w:sz w:val="32"/>
          <w:szCs w:val="32"/>
          <w:rtl w:val="0"/>
          <w:lang w:val="de-DE"/>
        </w:rPr>
        <w:t>{{PRINCIPLE_2_TITLE}}</w:t>
      </w:r>
      <w:bookmarkEnd w:id="1"/>
    </w:p>
    <w:p>
      <w:pPr>
        <w:pStyle w:val="Normal0"/>
      </w:pPr>
      <w:r>
        <w:rPr>
          <w:rStyle w:val="None B"/>
          <w:rtl w:val="0"/>
          <w:lang w:val="de-DE"/>
        </w:rPr>
        <w:t>{{PRINCIPLE_2_DESCRIPTION}}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{{PRINCIPLE_2_ANSWER}}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5 weiter.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{{PRINCIPLE_2_ASPECTS_AVAILABLE}}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{{PRINCIPLE_2_ASPECTS}}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{{PRINCIPLE_2_REASONING}}</w:t>
      </w:r>
    </w:p>
    <w:p>
      <w:pPr>
        <w:pStyle w:val="Normal0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br w:type="textWrapping"/>
        <w:br w:type="textWrapping"/>
      </w:r>
      <w:r>
        <w:rPr>
          <w:b w:val="1"/>
          <w:bCs w:val="1"/>
          <w:sz w:val="32"/>
          <w:szCs w:val="32"/>
          <w:rtl w:val="0"/>
          <w:lang w:val="de-DE"/>
        </w:rPr>
        <w:t xml:space="preserve">5. </w:t>
      </w:r>
      <w:bookmarkStart w:name="etabliertetechnologienermglicheneffizien" w:id="2"/>
      <w:r>
        <w:rPr>
          <w:b w:val="1"/>
          <w:bCs w:val="1"/>
          <w:sz w:val="32"/>
          <w:szCs w:val="32"/>
          <w:rtl w:val="0"/>
          <w:lang w:val="de-DE"/>
        </w:rPr>
        <w:t>{{PRINCIPLE_3_TITLE}}</w:t>
      </w:r>
      <w:bookmarkEnd w:id="2"/>
    </w:p>
    <w:p>
      <w:pPr>
        <w:pStyle w:val="Normal0"/>
      </w:pPr>
      <w:r>
        <w:rPr>
          <w:rStyle w:val="None B"/>
          <w:rtl w:val="0"/>
          <w:lang w:val="de-DE"/>
        </w:rPr>
        <w:t>{{PRINCIPLE_3_DESCRIPTION}}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{{PRINCIPLE_3_ANSWER}}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6 weiter.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{{PRINCIPLE_3_ASPECTS_AVAILABLE}}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{{PRINCIPLE_3_ASPECTS}}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{{PRINCIPLE_3_REASONING}}</w:t>
      </w:r>
    </w:p>
    <w:p>
      <w:pPr>
        <w:pStyle w:val="Normal0"/>
        <w:rPr>
          <w:rStyle w:val="None B"/>
        </w:rPr>
      </w:pPr>
    </w:p>
    <w:p>
      <w:pPr>
        <w:pStyle w:val="Normal0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  <w:rtl w:val="0"/>
          <w:lang w:val="de-DE"/>
        </w:rPr>
        <w:t xml:space="preserve">6. </w:t>
      </w:r>
      <w:bookmarkStart w:name="automatisierungbasiertaufeindeutigenrege" w:id="3"/>
      <w:r>
        <w:rPr>
          <w:b w:val="1"/>
          <w:bCs w:val="1"/>
          <w:sz w:val="32"/>
          <w:szCs w:val="32"/>
          <w:rtl w:val="0"/>
          <w:lang w:val="de-DE"/>
        </w:rPr>
        <w:t>{{PRINCIPLE_4_TITLE}}</w:t>
      </w:r>
      <w:bookmarkEnd w:id="3"/>
    </w:p>
    <w:p>
      <w:pPr>
        <w:pStyle w:val="Normal0"/>
      </w:pPr>
      <w:r>
        <w:rPr>
          <w:rStyle w:val="None B"/>
          <w:rtl w:val="0"/>
          <w:lang w:val="de-DE"/>
        </w:rPr>
        <w:t>{{PRINCIPLE_4_DESCRIPTION}}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{{PRINCIPLE_4_ANSWER}}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7 weiter.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{{PRINCIPLE_4_ASPECTS_AVAILABLE}}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{{PRINCIPLE_4_ASPECTS}}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{{PRINCIPLE_4_REASONING}}</w:t>
      </w:r>
    </w:p>
    <w:p>
      <w:pPr>
        <w:pStyle w:val="Normal0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</w:rPr>
        <w:br w:type="textWrapping"/>
      </w:r>
      <w:r>
        <w:rPr>
          <w:b w:val="1"/>
          <w:bCs w:val="1"/>
          <w:sz w:val="32"/>
          <w:szCs w:val="32"/>
          <w:rtl w:val="0"/>
          <w:lang w:val="de-DE"/>
        </w:rPr>
        <w:t xml:space="preserve">7. </w:t>
      </w:r>
      <w:bookmarkStart w:name="datenschutzundinformationssicherheitscha" w:id="4"/>
      <w:r>
        <w:rPr>
          <w:b w:val="1"/>
          <w:bCs w:val="1"/>
          <w:sz w:val="32"/>
          <w:szCs w:val="32"/>
          <w:rtl w:val="0"/>
          <w:lang w:val="de-DE"/>
        </w:rPr>
        <w:t>{{PRINCIPLE_5_TITLE}}</w:t>
      </w:r>
      <w:bookmarkEnd w:id="4"/>
    </w:p>
    <w:p>
      <w:pPr>
        <w:pStyle w:val="Normal0"/>
      </w:pPr>
      <w:r>
        <w:rPr>
          <w:rStyle w:val="None B"/>
          <w:rtl w:val="0"/>
          <w:lang w:val="de-DE"/>
        </w:rPr>
        <w:t>{{PRINCIPLE_5_DESCRIPTION}}</w:t>
      </w:r>
    </w:p>
    <w:p>
      <w:pPr>
        <w:pStyle w:val="heading 2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{{PRINCIPLE_5_ANSWER}}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Nein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b w:val="1"/>
          <w:bCs w:val="1"/>
          <w:rtl w:val="0"/>
          <w:lang w:val="de-DE"/>
        </w:rPr>
        <w:t>„</w:t>
      </w:r>
      <w:r>
        <w:rPr>
          <w:b w:val="1"/>
          <w:bCs w:val="1"/>
          <w:rtl w:val="0"/>
          <w:lang w:val="de-DE"/>
        </w:rPr>
        <w:t>Nicht relevant</w:t>
      </w:r>
      <w:r>
        <w:rPr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Entscheidung.</w:t>
      </w:r>
    </w:p>
    <w:p>
      <w:pPr>
        <w:pStyle w:val="Textbox Label"/>
        <w:ind w:left="720" w:firstLine="0"/>
        <w:rPr>
          <w:outline w:val="0"/>
          <w:color w:val="535353"/>
          <w:u w:color="535353"/>
          <w14:textFill>
            <w14:solidFill>
              <w14:srgbClr w14:val="535353"/>
            </w14:solidFill>
          </w14:textFill>
        </w:rPr>
      </w:pP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Verf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ü</w:t>
      </w:r>
      <w:r>
        <w:rPr>
          <w:outline w:val="0"/>
          <w:color w:val="535353"/>
          <w:u w:color="535353"/>
          <w:rtl w:val="0"/>
          <w:lang w:val="de-DE"/>
          <w14:textFill>
            <w14:solidFill>
              <w14:srgbClr w14:val="535353"/>
            </w14:solidFill>
          </w14:textFill>
        </w:rPr>
        <w:t>gbare Schwerpunkte: {{PRINCIPLE_5_ASPECTS_AVAILABLE}}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Ausgew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hlte Schwerpunkte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{{PRINCIPLE_5_ASPECTS}}</w:t>
      </w:r>
    </w:p>
    <w:p>
      <w:pPr>
        <w:pStyle w:val="Textbox Label"/>
        <w:ind w:left="720" w:firstLine="0"/>
      </w:pPr>
      <w:r>
        <w:rPr>
          <w:rStyle w:val="None B"/>
          <w:rtl w:val="0"/>
          <w:lang w:val="de-DE"/>
        </w:rPr>
        <w:t>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</w:t>
      </w:r>
    </w:p>
    <w:p>
      <w:pPr>
        <w:pStyle w:val="Textbox"/>
        <w:ind w:left="720" w:firstLine="0"/>
      </w:pPr>
      <w:r>
        <w:rPr>
          <w:rStyle w:val="None B"/>
          <w:rtl w:val="0"/>
          <w:lang w:val="de-DE"/>
        </w:rPr>
        <w:t>{{PRINCIPLE_5_REASONING}}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Title A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Dokumentation der Interoperabilit</w:t>
      </w:r>
      <w:r>
        <w:rPr>
          <w:b w:val="1"/>
          <w:bCs w:val="1"/>
          <w:rtl w:val="0"/>
          <w:lang w:val="de-DE"/>
        </w:rPr>
        <w:t>ä</w:t>
      </w:r>
      <w:r>
        <w:rPr>
          <w:b w:val="1"/>
          <w:bCs w:val="1"/>
          <w:rtl w:val="0"/>
          <w:lang w:val="de-DE"/>
        </w:rPr>
        <w:t>t</w:t>
      </w:r>
      <w:r>
        <w:rPr>
          <w:rStyle w:val="None B"/>
        </w:rPr>
        <w:br w:type="textWrapping"/>
      </w:r>
      <w:r>
        <w:rPr>
          <w:b w:val="1"/>
          <w:bCs w:val="1"/>
          <w:rtl w:val="0"/>
          <w:lang w:val="de-DE"/>
        </w:rPr>
        <w:t>(Interoperabilit</w:t>
      </w:r>
      <w:r>
        <w:rPr>
          <w:b w:val="1"/>
          <w:bCs w:val="1"/>
          <w:rtl w:val="0"/>
          <w:lang w:val="de-DE"/>
        </w:rPr>
        <w:t>ä</w:t>
      </w:r>
      <w:r>
        <w:rPr>
          <w:b w:val="1"/>
          <w:bCs w:val="1"/>
          <w:rtl w:val="0"/>
          <w:lang w:val="de-DE"/>
        </w:rPr>
        <w:t>ts-Bewertung)</w:t>
      </w:r>
    </w:p>
    <w:p>
      <w:pPr>
        <w:pStyle w:val="Normal0"/>
      </w:pPr>
      <w:r>
        <w:rPr>
          <w:rStyle w:val="None B"/>
          <w:rtl w:val="0"/>
          <w:lang w:val="de-DE"/>
        </w:rPr>
        <w:t xml:space="preserve">Sofern durch Ihre Regelung vorgesehen ist, dass Daten und Informationen zwischen Verwaltungen von EU-Mitgliedsstaaten ausgetauscht werden, muss nach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"https://eur-lex.europa.eu/legal-content/DE/TXT/?uri=CELEX:32024R0903%23art_3"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Art. 3 der Verordnung f</w:t>
      </w:r>
      <w:r>
        <w:rPr>
          <w:rStyle w:val="Hyperlink.0"/>
          <w:rtl w:val="0"/>
        </w:rPr>
        <w:t>ü</w:t>
      </w:r>
      <w:r>
        <w:rPr>
          <w:rStyle w:val="Hyperlink.0"/>
          <w:rtl w:val="0"/>
        </w:rPr>
        <w:t>r ein interoperables Europa (EU) 2024/903</w:t>
      </w:r>
      <w:r>
        <w:rPr/>
        <w:fldChar w:fldCharType="end" w:fldLock="0"/>
      </w:r>
      <w:r>
        <w:rPr>
          <w:rStyle w:val="None B"/>
          <w:rtl w:val="0"/>
          <w:lang w:val="de-DE"/>
        </w:rPr>
        <w:t xml:space="preserve"> in der Regel eine Interoperabilit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ts-Bewertung durchgef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hrt werden.</w:t>
      </w:r>
    </w:p>
    <w:p>
      <w:pPr>
        <w:pStyle w:val="Normal0"/>
      </w:pPr>
      <w:r>
        <w:rPr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Bei Fragen und R</w:t>
      </w:r>
      <w:r>
        <w:rPr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ckmeldungen </w:t>
      </w:r>
      <w:r>
        <w:rPr>
          <w:rStyle w:val="None B"/>
          <w:rtl w:val="0"/>
          <w:lang w:val="de-DE"/>
        </w:rPr>
        <w:t xml:space="preserve">wenden Sie sich an die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"https://digitalcheck.bund.de/interoperabel/nationale-kontaktstelle"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</w:rPr>
        <w:t>Nationale Kontaktstelle f</w:t>
      </w:r>
      <w:r>
        <w:rPr>
          <w:rStyle w:val="Hyperlink.1"/>
          <w:rtl w:val="0"/>
        </w:rPr>
        <w:t>ü</w:t>
      </w:r>
      <w:r>
        <w:rPr>
          <w:rStyle w:val="Hyperlink.1"/>
          <w:rtl w:val="0"/>
        </w:rPr>
        <w:t>r ein interoperables Europa</w:t>
      </w:r>
      <w:r>
        <w:rPr/>
        <w:fldChar w:fldCharType="end" w:fldLock="0"/>
      </w:r>
      <w:r>
        <w:rPr>
          <w:rStyle w:val="None B"/>
          <w:rtl w:val="0"/>
        </w:rPr>
        <w:t>.</w:t>
      </w:r>
    </w:p>
    <w:p>
      <w:pPr>
        <w:pStyle w:val="heading 2"/>
      </w:pPr>
      <w:r>
        <w:rPr>
          <w:rStyle w:val="None B"/>
          <w:rtl w:val="0"/>
        </w:rPr>
        <w:t>Ergab die Vorpr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fung Bezug zu EU-Interoperabilit</w:t>
      </w:r>
      <w:r>
        <w:rPr>
          <w:rStyle w:val="None B"/>
          <w:rtl w:val="0"/>
        </w:rPr>
        <w:t>ä</w:t>
      </w:r>
      <w:r>
        <w:rPr>
          <w:rStyle w:val="None B"/>
          <w:rtl w:val="0"/>
        </w:rPr>
        <w:t>t?</w:t>
      </w:r>
      <w:r>
        <w:rPr>
          <w:rStyle w:val="footnote reference"/>
          <w:rFonts w:ascii="Arial" w:cs="Arial" w:hAnsi="Arial" w:eastAsia="Arial"/>
          <w:b w:val="0"/>
          <w:bCs w:val="0"/>
          <w:i w:val="0"/>
          <w:iCs w:val="0"/>
        </w:rPr>
        <w:footnoteReference w:id="1"/>
      </w:r>
    </w:p>
    <w:p>
      <w:pPr>
        <w:pStyle w:val="Normal.0"/>
        <w:shd w:val="clear" w:color="auto" w:fill="fff9d2"/>
        <w:spacing w:before="187" w:after="115" w:line="300" w:lineRule="auto"/>
      </w:pPr>
      <w:r>
        <w:rPr>
          <w:rStyle w:val="None B"/>
          <w:rtl w:val="0"/>
          <w:lang w:val="de-DE"/>
        </w:rPr>
        <w:t>L</w:t>
      </w:r>
      <w:r>
        <w:rPr>
          <w:rStyle w:val="None B"/>
          <w:rtl w:val="0"/>
          <w:lang w:val="de-DE"/>
        </w:rPr>
        <w:t>ö</w:t>
      </w:r>
      <w:r>
        <w:rPr>
          <w:rStyle w:val="None B"/>
          <w:rtl w:val="0"/>
          <w:lang w:val="de-DE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{{INTEROPERABILITY_OUTCOME}}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 xml:space="preserve">Hinweis: Bei 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„</w:t>
      </w:r>
      <w:r>
        <w:rPr>
          <w:rStyle w:val="None"/>
          <w:rFonts w:cs="Arial Unicode MS" w:eastAsia="Arial Unicode MS"/>
          <w:b w:val="1"/>
          <w:bCs w:val="1"/>
          <w:i w:val="1"/>
          <w:iCs w:val="1"/>
          <w:rtl w:val="0"/>
          <w:lang w:val="de-DE"/>
        </w:rPr>
        <w:t>Nein, es ist kein Bezug vorhanden.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 xml:space="preserve">” 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entf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ä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llt die Interoperabilit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ä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ts-Bewertung. Sie k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ö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 xml:space="preserve">nnen in diesem Dokument direkt mit dem Abschnitt 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„</w:t>
      </w:r>
      <w:r>
        <w:rPr>
          <w:rStyle w:val="Hyperlink.3"/>
        </w:rPr>
        <w:fldChar w:fldCharType="begin" w:fldLock="0"/>
      </w:r>
      <w:r>
        <w:rPr>
          <w:rStyle w:val="Hyperlink.3"/>
        </w:rPr>
        <w:instrText xml:space="preserve"> HYPERLINK \l "Das_ist_jetzt" </w:instrText>
      </w:r>
      <w:r>
        <w:rPr>
          <w:rStyle w:val="Hyperlink.3"/>
        </w:rPr>
        <w:fldChar w:fldCharType="separate" w:fldLock="0"/>
      </w:r>
      <w:r>
        <w:rPr>
          <w:rStyle w:val="Hyperlink.3"/>
          <w:rFonts w:cs="Arial Unicode MS" w:eastAsia="Arial Unicode MS"/>
          <w:rtl w:val="0"/>
        </w:rPr>
        <w:t>Das ist jetzt zu tun</w:t>
      </w:r>
      <w:r>
        <w:rPr/>
        <w:fldChar w:fldCharType="end" w:fldLock="0"/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 xml:space="preserve">” 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weitermachen.</w:t>
      </w:r>
    </w:p>
    <w:p>
      <w:pPr>
        <w:pStyle w:val="Normal.0"/>
      </w:pPr>
    </w:p>
    <w:p>
      <w:pPr>
        <w:pStyle w:val="Title A"/>
        <w:rPr>
          <w:rStyle w:val="None"/>
          <w:b w:val="1"/>
          <w:bCs w:val="1"/>
          <w:sz w:val="32"/>
          <w:szCs w:val="32"/>
        </w:rPr>
      </w:pPr>
      <w:r>
        <w:rPr>
          <w:rStyle w:val="None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8. Verbindliche Anforderungen</w:t>
      </w:r>
    </w:p>
    <w:p>
      <w:pPr>
        <w:pStyle w:val="Normal.0"/>
      </w:pPr>
      <w:r>
        <w:rPr>
          <w:rStyle w:val="None B"/>
          <w:rFonts w:cs="Arial Unicode MS" w:eastAsia="Arial Unicode MS"/>
          <w:rtl w:val="0"/>
        </w:rPr>
        <w:t xml:space="preserve">In diesem Schritt wird gefragt, welche verbindlichen Anforderungen, d. h. Festlegungen im Sinne von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"https://eur-lex.europa.eu/legal-content/DE/TXT/?uri=CELEX:32024R0903%23art_2"</w:instrText>
      </w:r>
      <w:r>
        <w:rPr>
          <w:rStyle w:val="Hyperlink.1"/>
        </w:rPr>
        <w:fldChar w:fldCharType="separate" w:fldLock="0"/>
      </w:r>
      <w:r>
        <w:rPr>
          <w:rStyle w:val="Hyperlink.1"/>
          <w:rFonts w:cs="Arial Unicode MS" w:eastAsia="Arial Unicode MS"/>
          <w:rtl w:val="0"/>
        </w:rPr>
        <w:t>Art. 2 Nr. 15 der Verordnung (EU) 2024/903</w:t>
      </w:r>
      <w:r>
        <w:rPr/>
        <w:fldChar w:fldCharType="end" w:fldLock="0"/>
      </w:r>
      <w:r>
        <w:rPr>
          <w:rStyle w:val="None B"/>
          <w:rFonts w:cs="Arial Unicode MS" w:eastAsia="Arial Unicode MS"/>
          <w:rtl w:val="0"/>
        </w:rPr>
        <w:t xml:space="preserve">, von Ihrer Regelung betroffen </w:t>
      </w:r>
      <w:bookmarkStart w:name="_Int_LYnR7QKZ" w:id="5"/>
      <w:r>
        <w:rPr>
          <w:rStyle w:val="None B"/>
          <w:rFonts w:cs="Arial Unicode MS" w:eastAsia="Arial Unicode MS"/>
          <w:rtl w:val="0"/>
        </w:rPr>
        <w:t>sind.</w:t>
      </w:r>
      <w:r>
        <w:rPr>
          <w:rStyle w:val="footnote reference"/>
          <w:rFonts w:ascii="Arial" w:cs="Arial" w:hAnsi="Arial" w:eastAsia="Arial"/>
          <w:b w:val="0"/>
          <w:bCs w:val="0"/>
          <w:i w:val="0"/>
          <w:iCs w:val="0"/>
        </w:rPr>
        <w:footnoteReference w:id="2"/>
      </w:r>
      <w:bookmarkEnd w:id="5"/>
    </w:p>
    <w:p>
      <w:pPr>
        <w:pStyle w:val="Normal.0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Geben Sie au</w:t>
      </w:r>
      <w:r>
        <w:rPr>
          <w:rStyle w:val="None"/>
          <w:rFonts w:cs="Arial Unicode MS" w:eastAsia="Arial Unicode MS" w:hint="default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ß</w:t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erdem an, auf welche grenz</w:t>
      </w:r>
      <w:r>
        <w:rPr>
          <w:rStyle w:val="None"/>
          <w:rFonts w:cs="Arial Unicode MS" w:eastAsia="Arial Unicode MS" w:hint="default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berschreitenden digitalen Verwaltungsdienste sich diese Anforderungen auswirken. Dies betrifft sowohl von der Regelung benannte Dienste als auch den Vollzug.</w:t>
      </w:r>
      <w:r>
        <w:rPr>
          <w:rStyle w:val="None"/>
          <w:rFonts w:ascii="Arial" w:cs="Arial" w:hAnsi="Arial" w:eastAsia="Arial"/>
          <w:b w:val="0"/>
          <w:bCs w:val="0"/>
          <w:i w:val="0"/>
          <w:iCs w:val="0"/>
          <w:outline w:val="0"/>
          <w:color w:val="000000"/>
          <w:u w:color="000000"/>
          <w:vertAlign w:val="superscript"/>
          <w14:textFill>
            <w14:solidFill>
              <w14:srgbClr w14:val="000000"/>
            </w14:solidFill>
          </w14:textFill>
        </w:rPr>
        <w:footnoteReference w:id="3"/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</w:t>
      </w:r>
    </w:p>
    <w:p>
      <w:pPr>
        <w:pStyle w:val="heading 2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 B"/>
          <w:rtl w:val="0"/>
        </w:rPr>
        <w:t>In der Regelung enthaltene verbindliche Anforderungen</w:t>
      </w:r>
    </w:p>
    <w:p>
      <w:pPr>
        <w:pStyle w:val="Normal.0"/>
      </w:pPr>
      <w:r>
        <w:rPr>
          <w:rStyle w:val="None"/>
          <w:rFonts w:cs="Arial Unicode MS" w:eastAsia="Arial Unicode MS"/>
          <w:rtl w:val="0"/>
          <w:lang w:val="de-DE"/>
        </w:rPr>
        <w:t>{{BINDING_REQUIREMENTS_TABLE}}</w:t>
      </w:r>
    </w:p>
    <w:p>
      <w:pPr>
        <w:pStyle w:val="Normal.0"/>
        <w:spacing w:line="259" w:lineRule="auto"/>
      </w:pPr>
      <w:r>
        <w:rPr>
          <w:rStyle w:val="None"/>
          <w:b w:val="1"/>
          <w:bCs w:val="1"/>
          <w:sz w:val="24"/>
          <w:szCs w:val="24"/>
          <w:rtl w:val="0"/>
          <w:lang w:val="de-DE"/>
        </w:rPr>
        <w:t>Hinweise zum Ausf</w:t>
      </w:r>
      <w:r>
        <w:rPr>
          <w:rStyle w:val="None"/>
          <w:b w:val="1"/>
          <w:bCs w:val="1"/>
          <w:sz w:val="24"/>
          <w:szCs w:val="24"/>
          <w:rtl w:val="0"/>
          <w:lang w:val="de-DE"/>
        </w:rPr>
        <w:t>ü</w:t>
      </w:r>
      <w:r>
        <w:rPr>
          <w:rStyle w:val="None"/>
          <w:b w:val="1"/>
          <w:bCs w:val="1"/>
          <w:sz w:val="24"/>
          <w:szCs w:val="24"/>
          <w:rtl w:val="0"/>
          <w:lang w:val="de-DE"/>
        </w:rPr>
        <w:t>llen</w:t>
      </w:r>
    </w:p>
    <w:p>
      <w:pPr>
        <w:pStyle w:val="Normal.0"/>
      </w:pPr>
      <w:r>
        <w:rPr>
          <w:rStyle w:val="None"/>
          <w:rFonts w:cs="Arial Unicode MS" w:eastAsia="Arial Unicode MS"/>
          <w:rtl w:val="0"/>
          <w:lang w:val="de-DE"/>
        </w:rPr>
        <w:t>Bitte wiederholen Sie die Tabelle f</w:t>
      </w:r>
      <w:r>
        <w:rPr>
          <w:rStyle w:val="None"/>
          <w:rFonts w:cs="Arial Unicode MS" w:eastAsia="Arial Unicode MS" w:hint="default"/>
          <w:rtl w:val="0"/>
          <w:lang w:val="de-DE"/>
        </w:rPr>
        <w:t>ü</w:t>
      </w:r>
      <w:r>
        <w:rPr>
          <w:rStyle w:val="None"/>
          <w:rFonts w:cs="Arial Unicode MS" w:eastAsia="Arial Unicode MS"/>
          <w:rtl w:val="0"/>
          <w:lang w:val="de-DE"/>
        </w:rPr>
        <w:t>r jede verbindliche Anforderung.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Betroffene grenz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ü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berschreitende digitale Verwaltungsdienste:</w:t>
      </w:r>
      <w:r>
        <w:rPr>
          <w:rStyle w:val="None"/>
          <w:rFonts w:cs="Arial Unicode MS" w:eastAsia="Arial Unicode MS"/>
          <w:rtl w:val="0"/>
          <w:lang w:val="de-DE"/>
        </w:rPr>
        <w:t xml:space="preserve"> </w:t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Siehe </w:t>
      </w:r>
      <w:r>
        <w:rPr>
          <w:rStyle w:val="Hyperlink.4"/>
        </w:rPr>
        <w:fldChar w:fldCharType="begin" w:fldLock="0"/>
      </w:r>
      <w:r>
        <w:rPr>
          <w:rStyle w:val="Hyperlink.4"/>
        </w:rPr>
        <w:instrText xml:space="preserve"> HYPERLINK "https://eur-lex.europa.eu/legal-content/DE/TXT/?uri=CELEX:32024R0903%23rct_6"</w:instrText>
      </w:r>
      <w:r>
        <w:rPr>
          <w:rStyle w:val="Hyperlink.4"/>
        </w:rPr>
        <w:fldChar w:fldCharType="separate" w:fldLock="0"/>
      </w:r>
      <w:r>
        <w:rPr>
          <w:rStyle w:val="Hyperlink.4"/>
          <w:rFonts w:cs="Arial Unicode MS" w:eastAsia="Arial Unicode MS"/>
          <w:rtl w:val="0"/>
        </w:rPr>
        <w:t>ErwG 6 der Verordnung (EU) 2024/903</w:t>
      </w:r>
      <w:r>
        <w:rPr/>
        <w:fldChar w:fldCharType="end" w:fldLock="0"/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.</w:t>
      </w:r>
    </w:p>
    <w:p>
      <w:pPr>
        <w:pStyle w:val="Normal.0"/>
        <w:rPr>
          <w:rStyle w:val="None B"/>
        </w:rPr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welche Bereiche sind diese Dienste relevant:</w:t>
      </w:r>
      <w:r>
        <w:rPr>
          <w:rStyle w:val="None"/>
          <w:rFonts w:cs="Arial Unicode MS" w:eastAsia="Arial Unicode MS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</w:t>
      </w:r>
      <w:r>
        <w:rPr>
          <w:rStyle w:val="None B"/>
          <w:rFonts w:cs="Arial Unicode MS" w:eastAsia="Arial Unicode MS"/>
          <w:rtl w:val="0"/>
        </w:rPr>
        <w:t>Verf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 xml:space="preserve">gbare Bereiche: Verteidigung; Wirtschaftliche Angelegenheiten;  Bildung; Umweltschutz; Allgemeine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ffentliche Dienste; Gesundheit; Wohnungswesen und kommunale Einrichtungen;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>ffentliche Ordnung und Sicherheit; Freizeit, Kultur und Religion; Sozialschutz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F</w:t>
      </w:r>
      <w:r>
        <w:rPr>
          <w:rStyle w:val="None"/>
          <w:rFonts w:cs="Arial Unicode MS" w:eastAsia="Arial Unicode MS" w:hint="default"/>
          <w:b w:val="1"/>
          <w:bCs w:val="1"/>
          <w:rtl w:val="0"/>
          <w:lang w:val="de-DE"/>
        </w:rPr>
        <w:t>ü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>r wen gilt diese verbindliche Anforderung:</w:t>
      </w:r>
      <w:r>
        <w:rPr>
          <w:rStyle w:val="None B"/>
          <w:rFonts w:cs="Arial Unicode MS" w:eastAsia="Arial Unicode MS"/>
          <w:rtl w:val="0"/>
        </w:rPr>
        <w:t xml:space="preserve"> Auswahlm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glichkeiten: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ffentliche Stelle (Kommunen / lokal);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>ffentliche Stelle (L</w:t>
      </w:r>
      <w:r>
        <w:rPr>
          <w:rStyle w:val="None B"/>
          <w:rFonts w:cs="Arial Unicode MS" w:eastAsia="Arial Unicode MS" w:hint="default"/>
          <w:rtl w:val="0"/>
        </w:rPr>
        <w:t>ä</w:t>
      </w:r>
      <w:r>
        <w:rPr>
          <w:rStyle w:val="None B"/>
          <w:rFonts w:cs="Arial Unicode MS" w:eastAsia="Arial Unicode MS"/>
          <w:rtl w:val="0"/>
        </w:rPr>
        <w:t xml:space="preserve">nder / regional), 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ffentliche Stelle (Bund / national); EU-Institution; EU-Agentur; EU-Einrichtung; Private Unternehmen 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Rechtliche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9.1 Rechtliche Grundlage f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den Datenaustausch schaffen</w:t>
      </w:r>
    </w:p>
    <w:p>
      <w:pPr>
        <w:pStyle w:val="Normal.0"/>
        <w:rPr>
          <w:rStyle w:val="None B"/>
        </w:rPr>
      </w:pPr>
      <w:r>
        <w:rPr>
          <w:rStyle w:val="None B"/>
          <w:rFonts w:cs="Arial Unicode MS" w:eastAsia="Arial Unicode MS"/>
          <w:rtl w:val="0"/>
        </w:rPr>
        <w:t>Eine Regelung sollte so gestaltet sein, dass Beh</w:t>
      </w:r>
      <w:r>
        <w:rPr>
          <w:rStyle w:val="None B"/>
          <w:rFonts w:cs="Arial Unicode MS" w:eastAsia="Arial Unicode MS" w:hint="default"/>
          <w:rtl w:val="0"/>
        </w:rPr>
        <w:t>ö</w:t>
      </w:r>
      <w:r>
        <w:rPr>
          <w:rStyle w:val="None B"/>
          <w:rFonts w:cs="Arial Unicode MS" w:eastAsia="Arial Unicode MS"/>
          <w:rtl w:val="0"/>
        </w:rPr>
        <w:t xml:space="preserve">rden Daten 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>ber Grenzen hinweg austauschen d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>rfen. Keine rechtlichen Barrieren d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>rfen einen digitalen Austausch blockieren.</w:t>
      </w:r>
      <w:r>
        <w:rPr>
          <w:rStyle w:val="footnote reference"/>
          <w:rFonts w:ascii="Arial" w:cs="Arial" w:hAnsi="Arial" w:eastAsia="Arial"/>
          <w:b w:val="0"/>
          <w:bCs w:val="0"/>
          <w:i w:val="0"/>
          <w:iCs w:val="0"/>
        </w:rPr>
        <w:footnoteReference w:id="4"/>
      </w:r>
    </w:p>
    <w:p>
      <w:pPr>
        <w:pStyle w:val="Normal.0"/>
      </w:pPr>
      <w:r>
        <w:rPr>
          <w:rStyle w:val="None B"/>
          <w:rFonts w:cs="Arial Unicode MS" w:eastAsia="Arial Unicode MS"/>
          <w:rtl w:val="0"/>
        </w:rPr>
        <w:t xml:space="preserve">Schafft das Regelungsvorhaben die </w:t>
      </w:r>
      <w:r>
        <w:rPr>
          <w:rStyle w:val="None"/>
          <w:rFonts w:cs="Arial Unicode MS" w:eastAsia="Arial Unicode MS"/>
          <w:b w:val="1"/>
          <w:bCs w:val="1"/>
          <w:rtl w:val="0"/>
          <w:lang w:val="de-DE"/>
        </w:rPr>
        <w:t xml:space="preserve">rechtlichen </w:t>
      </w:r>
      <w:r>
        <w:rPr>
          <w:rStyle w:val="None B"/>
          <w:rFonts w:cs="Arial Unicode MS" w:eastAsia="Arial Unicode MS"/>
          <w:rtl w:val="0"/>
        </w:rPr>
        <w:t>Voraussetzungen f</w:t>
      </w:r>
      <w:r>
        <w:rPr>
          <w:rStyle w:val="None B"/>
          <w:rFonts w:cs="Arial Unicode MS" w:eastAsia="Arial Unicode MS" w:hint="default"/>
          <w:rtl w:val="0"/>
        </w:rPr>
        <w:t>ü</w:t>
      </w:r>
      <w:r>
        <w:rPr>
          <w:rStyle w:val="None B"/>
          <w:rFonts w:cs="Arial Unicode MS" w:eastAsia="Arial Unicode MS"/>
          <w:rtl w:val="0"/>
        </w:rPr>
        <w:t>r einen Datenaustausch innerhalb der EU?</w:t>
      </w:r>
    </w:p>
    <w:p>
      <w:pPr>
        <w:pStyle w:val="Normal.0"/>
        <w:shd w:val="clear" w:color="auto" w:fill="fff9d2"/>
        <w:spacing w:befor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schen Sie raus, was nicht zutrifft: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{{IO_LEGAL_RATING}}</w:t>
      </w:r>
    </w:p>
    <w:p>
      <w:pPr>
        <w:pStyle w:val="Normal.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Wenn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Ja, g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nzlich oder teilweise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und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Nein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zutreffen: </w:t>
      </w:r>
      <w:r>
        <w:rPr>
          <w:rStyle w:val="None B"/>
        </w:rPr>
        <w:br w:type="textWrapping"/>
        <w:br w:type="textWrapping"/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Dokumentieren Sie Ihre Erl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uterung, z. B.: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Beh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rde A wird erm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chtigt, Daten von Beh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rde B abzurufen.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60" w:line="259" w:lineRule="auto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LEGAL_DETAIL}}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Organisatorische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t 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9.2 Organisatorische Strukturen f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Interoperabilit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</w:t>
      </w:r>
    </w:p>
    <w:p>
      <w:pPr>
        <w:pStyle w:val="Normal.0"/>
        <w:rPr>
          <w:rStyle w:val="None"/>
          <w:outline w:val="0"/>
          <w:color w:val="00000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Zust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ndigkeiten und Prozesse m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ssen so ausgestaltet sein, dass die Zusammenarbeit zwischen Beh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rden unterschiedlicher EU-Mitgliedstaaten reibungslos funktionieren kann.</w:t>
      </w:r>
      <w:r>
        <w:rPr>
          <w:rStyle w:val="None"/>
          <w:rFonts w:ascii="Arial" w:cs="Arial" w:hAnsi="Arial" w:eastAsia="Arial"/>
          <w:b w:val="0"/>
          <w:bCs w:val="0"/>
          <w:i w:val="0"/>
          <w:iCs w:val="0"/>
          <w:outline w:val="0"/>
          <w:color w:val="000000"/>
          <w:sz w:val="22"/>
          <w:szCs w:val="22"/>
          <w:u w:color="000000"/>
          <w:vertAlign w:val="superscript"/>
          <w14:textFill>
            <w14:solidFill>
              <w14:srgbClr w14:val="000000"/>
            </w14:solidFill>
          </w14:textFill>
        </w:rPr>
        <w:footnoteReference w:id="5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Schafft das Regelungsvorhaben die 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organisatorischen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Voraussetzungen f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einen Datenaustausch innerhalb der EU?</w:t>
      </w:r>
    </w:p>
    <w:p>
      <w:pPr>
        <w:pStyle w:val="Normal.0"/>
        <w:shd w:val="clear" w:color="auto" w:fill="fff9d2"/>
        <w:spacing w:befor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schen Sie raus, was nicht zutrifft: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ORGANIZATIONAL_RATING}}</w:t>
      </w:r>
    </w:p>
    <w:p>
      <w:pPr>
        <w:pStyle w:val="Normal.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Wenn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Ja, g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nzlich oder teilweise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und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Nein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zutreffen: </w:t>
      </w:r>
      <w:r>
        <w:rPr>
          <w:rStyle w:val="None B"/>
        </w:rPr>
        <w:br w:type="textWrapping"/>
        <w:br w:type="textWrapping"/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Dokumentieren Sie Ihre Erl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uterung, z. B.: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Antr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ge m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ssen innerhalb von 3 Tagen an die zust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ndige Stelle weitergeleitet werden.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“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und Benennung der zust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ndigen Beh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rden.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6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ORGANIZATIONAL_DETAIL}}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Semantische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9.3 Gemeinsame Bedeutung von Daten sicherstellen</w:t>
      </w:r>
    </w:p>
    <w:p>
      <w:pPr>
        <w:pStyle w:val="Normal.0"/>
        <w:rPr>
          <w:rStyle w:val="None"/>
          <w:outline w:val="0"/>
          <w:color w:val="00000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Semantische Klarheit sorgt daf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r, dass 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was gesendet wird, auch genau so verstanden wird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. Rechtsbegriffe m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ssen gleich definiert und Datenfelder kompatibel sein, damit IT-Systeme sie zweifelsfrei verarbeiten k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nnen.</w:t>
      </w:r>
      <w:r>
        <w:rPr>
          <w:rStyle w:val="None"/>
          <w:rFonts w:ascii="Arial" w:cs="Arial" w:hAnsi="Arial" w:eastAsia="Arial"/>
          <w:b w:val="0"/>
          <w:bCs w:val="0"/>
          <w:i w:val="0"/>
          <w:iCs w:val="0"/>
          <w:outline w:val="0"/>
          <w:color w:val="000000"/>
          <w:sz w:val="22"/>
          <w:szCs w:val="22"/>
          <w:u w:color="000000"/>
          <w:vertAlign w:val="superscript"/>
          <w14:textFill>
            <w14:solidFill>
              <w14:srgbClr w14:val="000000"/>
            </w14:solidFill>
          </w14:textFill>
        </w:rPr>
        <w:footnoteReference w:id="6"/>
      </w:r>
    </w:p>
    <w:p>
      <w:pPr>
        <w:pStyle w:val="Normal.0"/>
        <w:spacing w:before="0" w:after="80"/>
      </w:pP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Stellt das Regelungsvorhaben sicher, dass </w:t>
      </w:r>
      <w:r>
        <w:rPr>
          <w:rStyle w:val="None"/>
          <w:b w:val="1"/>
          <w:bCs w:val="1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semantische Definitionen von Begriffen und Datenfeldern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 den Datenaustausch 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ber EU-Grenzen erm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glichen?</w:t>
      </w:r>
    </w:p>
    <w:p>
      <w:pPr>
        <w:pStyle w:val="Normal.0"/>
        <w:shd w:val="clear" w:color="auto" w:fill="fff9d2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schen Sie raus, was nicht zutrifft: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SEMANTIC_RATING}}</w:t>
      </w:r>
    </w:p>
    <w:p>
      <w:pPr>
        <w:pStyle w:val="Normal.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Wenn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Ja, g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nzlich oder teilweise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und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Nein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zutreffen: </w:t>
      </w:r>
      <w:r>
        <w:rPr>
          <w:rStyle w:val="None B"/>
        </w:rPr>
        <w:br w:type="textWrapping"/>
        <w:br w:type="textWrapping"/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Dokumentieren Sie Ihre Erl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uterung, z. B.: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Datenbegriffe werden gem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äß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dem Vokabular X einheitlich definiert.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”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6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SEMANTIC_DETAIL}}</w:t>
      </w: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Technische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</w:t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9.4 Technische Voraussetzungen f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den Datenaustausch schaffen</w:t>
      </w:r>
    </w:p>
    <w:p>
      <w:pPr>
        <w:pStyle w:val="Normal.0"/>
        <w:rPr>
          <w:rStyle w:val="None"/>
          <w:outline w:val="0"/>
          <w:color w:val="000000"/>
          <w:sz w:val="22"/>
          <w:szCs w:val="22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Die technische Ebene der Interoperabilit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 sorgt daf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r, dass verschiedene Verwaltungen 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ber kompatible IT-Systeme, Datenstandards und Schnittstellen (APIs) tats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chlich miteinander kommunizieren k</w:t>
      </w:r>
      <w:r>
        <w:rPr>
          <w:rStyle w:val="None"/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nnen - ohne manuelle Anpassungen pro Fall.</w:t>
      </w:r>
      <w:r>
        <w:rPr>
          <w:rStyle w:val="None"/>
          <w:rFonts w:ascii="Arial" w:cs="Arial" w:hAnsi="Arial" w:eastAsia="Arial"/>
          <w:b w:val="0"/>
          <w:bCs w:val="0"/>
          <w:i w:val="0"/>
          <w:iCs w:val="0"/>
          <w:outline w:val="0"/>
          <w:color w:val="000000"/>
          <w:sz w:val="22"/>
          <w:szCs w:val="22"/>
          <w:u w:color="000000"/>
          <w:vertAlign w:val="superscript"/>
          <w14:textFill>
            <w14:solidFill>
              <w14:srgbClr w14:val="000000"/>
            </w14:solidFill>
          </w14:textFill>
        </w:rPr>
        <w:footnoteReference w:id="7"/>
      </w:r>
    </w:p>
    <w:p>
      <w:pPr>
        <w:pStyle w:val="Normal.0"/>
        <w:spacing w:before="0" w:after="80"/>
      </w:pP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Schafft das Regelungsvorhaben die </w:t>
      </w:r>
      <w:r>
        <w:rPr>
          <w:rStyle w:val="None"/>
          <w:b w:val="1"/>
          <w:bCs w:val="1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technischen 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Voraussetzungen f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ü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r einen Datenaustausch innerhalb der EU?</w:t>
      </w:r>
    </w:p>
    <w:p>
      <w:pPr>
        <w:pStyle w:val="Normal.0"/>
        <w:shd w:val="clear" w:color="auto" w:fill="fff9d2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L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schen Sie raus, was nicht zutrifft: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TECHNICAL_RATING}}</w:t>
      </w:r>
    </w:p>
    <w:p>
      <w:pPr>
        <w:pStyle w:val="Normal.0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Wenn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Ja, g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nzlich oder teilweise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und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“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Nein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zutreffen: </w:t>
      </w:r>
      <w:r>
        <w:rPr>
          <w:rStyle w:val="None B"/>
        </w:rPr>
        <w:br w:type="textWrapping"/>
        <w:br w:type="textWrapping"/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Dokumentieren Sie Ihre Erl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ä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uterung, z. B.: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Die Schnittstellen entsprechen dem Standard X.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”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oder 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„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Das System nutzt das Protokoll Y.</w:t>
      </w:r>
      <w:r>
        <w:rPr>
          <w:rStyle w:val="None"/>
          <w:outline w:val="0"/>
          <w:color w:val="000000"/>
          <w:sz w:val="16"/>
          <w:szCs w:val="16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”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60" w:line="259" w:lineRule="auto"/>
        <w:ind w:left="720" w:firstLine="0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</w:t>
      </w:r>
      <w:r>
        <w:rPr>
          <w:rStyle w:val="None"/>
          <w:outline w:val="0"/>
          <w:color w:val="000000"/>
          <w:sz w:val="19"/>
          <w:szCs w:val="19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IO_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TECHNICAL_DETAIL}}</w:t>
      </w:r>
    </w:p>
    <w:p>
      <w:pPr>
        <w:pStyle w:val="Normal.0"/>
        <w:rPr>
          <w:rStyle w:val="None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ormal.0"/>
      </w:pP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10. Ver</w:t>
      </w:r>
      <w:r>
        <w:rPr>
          <w:rStyle w:val="None"/>
          <w:rFonts w:cs="Arial Unicode MS" w:eastAsia="Arial Unicode MS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rFonts w:cs="Arial Unicode MS" w:eastAsia="Arial Unicode MS"/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ffentlichung</w:t>
      </w:r>
    </w:p>
    <w:p>
      <w:pPr>
        <w:pStyle w:val="heading 2"/>
        <w:spacing w:before="0" w:after="80"/>
      </w:pP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Wann soll der Referentenentwurf voraussichtlich auf der Webseite Ihres Ministeriums ver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sz w:val="22"/>
          <w:szCs w:val="2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ffentlicht werden?</w:t>
      </w:r>
    </w:p>
    <w:p>
      <w:pPr>
        <w:pStyle w:val="Normal.0"/>
        <w:shd w:val="clear" w:color="auto" w:fill="fff9d2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Die Ver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ffentlichung ist geplant am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…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{{PUBLICATION_DATE}}</w:t>
      </w:r>
    </w:p>
    <w:p>
      <w:pPr>
        <w:pStyle w:val="Normal.0"/>
        <w:shd w:val="clear" w:color="auto" w:fill="fff9d2"/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Der Referentenentwurf ist bereits ver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ö</w:t>
      </w: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ffentlicht</w:t>
      </w:r>
    </w:p>
    <w:p>
      <w:pPr>
        <w:pStyle w:val="Normal.0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shd w:val="clear" w:color="auto" w:fill="f2f6f8"/>
        <w:spacing w:before="120" w:line="259" w:lineRule="auto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{{PUBLICATION_LINK}}</w:t>
      </w: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.0"/>
      </w:pPr>
    </w:p>
    <w:p>
      <w:pPr>
        <w:pStyle w:val="Normal0"/>
      </w:pPr>
    </w:p>
    <w:p>
      <w:pPr>
        <w:pStyle w:val="Normal.0"/>
      </w:pPr>
    </w:p>
    <w:p>
      <w:pPr>
        <w:pStyle w:val="Normal.0"/>
      </w:pPr>
    </w:p>
    <w:p>
      <w:pPr>
        <w:pStyle w:val="heading 1"/>
        <w:spacing w:before="720"/>
        <w:rPr>
          <w:rStyle w:val="None"/>
          <w:b w:val="1"/>
          <w:bCs w:val="1"/>
        </w:rPr>
      </w:pPr>
    </w:p>
    <w:p>
      <w:pPr>
        <w:pStyle w:val="Normal.0"/>
        <w:spacing w:before="720"/>
      </w:pPr>
      <w:r>
        <w:rPr>
          <w:rStyle w:val="None B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1"/>
        <w:spacing w:before="720"/>
        <w:rPr>
          <w:rStyle w:val="None"/>
          <w:b w:val="1"/>
          <w:bCs w:val="1"/>
        </w:rPr>
      </w:pPr>
      <w:bookmarkStart w:name="_Das_ist_jetzt" w:id="6"/>
      <w:r>
        <w:rPr>
          <w:rStyle w:val="None"/>
          <w:b w:val="1"/>
          <w:bCs w:val="1"/>
          <w:rtl w:val="0"/>
          <w:lang w:val="de-DE"/>
        </w:rPr>
        <w:t>Das ist jetzt zu tun</w:t>
      </w:r>
      <w:bookmarkEnd w:id="6"/>
    </w:p>
    <w:p>
      <w:pPr>
        <w:pStyle w:val="List Paragraph"/>
        <w:numPr>
          <w:ilvl w:val="0"/>
          <w:numId w:val="5"/>
        </w:numPr>
        <w:rPr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Speichern</w:t>
      </w:r>
      <w:r>
        <w:rPr>
          <w:rStyle w:val="None B"/>
          <w:rtl w:val="0"/>
          <w:lang w:val="de-DE"/>
        </w:rPr>
        <w:t xml:space="preserve"> Sie die Dokumentation als </w:t>
      </w:r>
      <w:r>
        <w:rPr>
          <w:rStyle w:val="None"/>
          <w:b w:val="1"/>
          <w:bCs w:val="1"/>
          <w:rtl w:val="0"/>
          <w:lang w:val="de-DE"/>
        </w:rPr>
        <w:t>PDF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rtl w:val="0"/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Senden</w:t>
      </w:r>
      <w:r>
        <w:rPr>
          <w:rStyle w:val="None B"/>
          <w:rtl w:val="0"/>
          <w:lang w:val="de-DE"/>
        </w:rPr>
        <w:t xml:space="preserve"> Sie die von Ihnen erstellte Dokumentation als PDF per E-Mail:</w:t>
      </w:r>
    </w:p>
    <w:p>
      <w:pPr>
        <w:pStyle w:val="List Paragraph"/>
        <w:numPr>
          <w:ilvl w:val="1"/>
          <w:numId w:val="5"/>
        </w:numPr>
        <w:bidi w:val="0"/>
        <w:ind w:right="0"/>
        <w:jc w:val="left"/>
        <w:rPr>
          <w:rtl w:val="0"/>
          <w:lang w:val="de-DE"/>
        </w:rPr>
      </w:pPr>
      <w:r>
        <w:rPr>
          <w:rStyle w:val="None B"/>
          <w:rtl w:val="0"/>
          <w:lang w:val="de-DE"/>
        </w:rPr>
        <w:t>F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r Bundesebene:</w:t>
      </w:r>
      <w:r>
        <w:rPr>
          <w:rStyle w:val="None B"/>
          <w:rtl w:val="0"/>
          <w:lang w:val="de-DE"/>
        </w:rPr>
        <w:t xml:space="preserve"> </w:t>
      </w:r>
      <w:r>
        <w:rPr>
          <w:rStyle w:val="Hyperlink.1"/>
          <w:rtl w:val="0"/>
          <w:lang w:val="de-DE"/>
        </w:rPr>
        <w:t>{{NKR_CONTACT_EMAIL}}</w:t>
      </w:r>
      <w:r>
        <w:rPr>
          <w:rStyle w:val="None B"/>
          <w:rtl w:val="0"/>
          <w:lang w:val="de-DE"/>
        </w:rPr>
        <w:t>. Der NKR (Nationaler Normenkontrollrat) pr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ft Ihr Vorhaben hinsichtlich der Ber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cksichtigung der Prinzipien digitaltauglicher Gesetzgebung. Bei Fragen wird der NKR auf Sie zukommen.</w:t>
      </w:r>
    </w:p>
    <w:p>
      <w:pPr>
        <w:pStyle w:val="List Paragraph"/>
        <w:numPr>
          <w:ilvl w:val="1"/>
          <w:numId w:val="5"/>
        </w:numPr>
        <w:bidi w:val="0"/>
        <w:ind w:right="0"/>
        <w:jc w:val="left"/>
        <w:rPr>
          <w:rtl w:val="0"/>
          <w:lang w:val="de-DE"/>
        </w:rPr>
      </w:pPr>
      <w:r>
        <w:rPr>
          <w:rStyle w:val="None B"/>
          <w:rtl w:val="0"/>
          <w:lang w:val="de-DE"/>
        </w:rPr>
        <w:t>F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r Landesebene: Bitte informieren Sie sich auf Ihrer Landes-Unterseite, wie Sie mit der Dokumentation weiter verfahren.</w:t>
      </w:r>
    </w:p>
    <w:p>
      <w:pPr>
        <w:pStyle w:val="List Paragraph"/>
        <w:numPr>
          <w:ilvl w:val="0"/>
          <w:numId w:val="5"/>
        </w:numPr>
        <w:bidi w:val="0"/>
        <w:ind w:right="0"/>
        <w:jc w:val="left"/>
        <w:rPr>
          <w:rtl w:val="0"/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Bei Interoperabilit</w:t>
      </w:r>
      <w:r>
        <w:rPr>
          <w:rStyle w:val="None"/>
          <w:b w:val="1"/>
          <w:bCs w:val="1"/>
          <w:rtl w:val="0"/>
          <w:lang w:val="de-DE"/>
        </w:rPr>
        <w:t>ä</w:t>
      </w:r>
      <w:r>
        <w:rPr>
          <w:rStyle w:val="None"/>
          <w:b w:val="1"/>
          <w:bCs w:val="1"/>
          <w:rtl w:val="0"/>
          <w:lang w:val="de-DE"/>
        </w:rPr>
        <w:t>tsbezug</w:t>
      </w:r>
      <w:r>
        <w:rPr>
          <w:rStyle w:val="None B"/>
          <w:rtl w:val="0"/>
          <w:lang w:val="de-DE"/>
        </w:rPr>
        <w:t xml:space="preserve"> senden Sie eine Kopie der E-Mail mit der PDF-Datei an </w:t>
      </w:r>
      <w:r>
        <w:rPr>
          <w:rStyle w:val="Hyperlink.1"/>
          <w:rtl w:val="0"/>
          <w:lang w:val="de-DE"/>
        </w:rPr>
        <w:t>{{INTEROPS_EMAIL}}</w:t>
      </w:r>
      <w:r>
        <w:rPr>
          <w:rStyle w:val="None B"/>
          <w:rtl w:val="0"/>
          <w:lang w:val="de-DE"/>
        </w:rPr>
        <w:t>.</w:t>
      </w:r>
    </w:p>
    <w:p>
      <w:pPr>
        <w:pStyle w:val="List Paragraph"/>
        <w:numPr>
          <w:ilvl w:val="0"/>
          <w:numId w:val="5"/>
        </w:numPr>
        <w:rPr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Visuelle Darstellungen</w:t>
      </w:r>
      <w:r>
        <w:rPr>
          <w:rStyle w:val="None B"/>
          <w:rtl w:val="0"/>
          <w:lang w:val="de-DE"/>
        </w:rPr>
        <w:t xml:space="preserve"> und Skizzen sind vom NKR gern gesehen. H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ngen Sie diese formlos als PDF oder als Screenshot an.</w:t>
      </w:r>
    </w:p>
    <w:p>
      <w:pPr>
        <w:pStyle w:val="List Paragraph"/>
        <w:numPr>
          <w:ilvl w:val="0"/>
          <w:numId w:val="5"/>
        </w:numPr>
        <w:rPr>
          <w:lang w:val="de-DE"/>
        </w:rPr>
      </w:pPr>
      <w:r>
        <w:rPr>
          <w:rStyle w:val="None B"/>
          <w:rtl w:val="0"/>
          <w:lang w:val="de-DE"/>
        </w:rPr>
        <w:t>Damit ist der Digitalcheck f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r Sie beendet.</w:t>
      </w:r>
    </w:p>
    <w:p>
      <w:pPr>
        <w:pStyle w:val="heading 2"/>
      </w:pPr>
      <w:r>
        <w:rPr>
          <w:rStyle w:val="None B"/>
          <w:rtl w:val="0"/>
        </w:rPr>
        <w:t>Gut zu wissen: Das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ft der Nationale Normenkontrollrat</w:t>
      </w:r>
    </w:p>
    <w:p>
      <w:pPr>
        <w:pStyle w:val="Normal0"/>
      </w:pPr>
      <w:r>
        <w:rPr>
          <w:rStyle w:val="None B"/>
          <w:rtl w:val="0"/>
        </w:rPr>
        <w:t>Der NKR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ft das Regelungsvorhaben auf M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glichkeiten der digitalen Umsetzung. Die Basis ist der von Ihnen durchgef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hrte Digitalcheck. Das wesentliche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fkriterium ist die methodische und inhaltliche Nachvollziehbarkeit. Sein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fergebnis ver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ffentlicht er gegebenenfalls in seinen Stellungnahmen. Wenn Sie eine Visualisierung angefertigt haben und Sie der Ver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ffentlichung zustimmen, kann diese an die Stellungnahme angeh</w:t>
      </w:r>
      <w:r>
        <w:rPr>
          <w:rStyle w:val="None B"/>
          <w:rtl w:val="0"/>
        </w:rPr>
        <w:t>ä</w:t>
      </w:r>
      <w:r>
        <w:rPr>
          <w:rStyle w:val="None B"/>
          <w:rtl w:val="0"/>
        </w:rPr>
        <w:t>ngt werden. Bei Fragen oder Anregungen kommt Ihre Ansprechperson im NKR-Sekretariat auf Sie zu.</w:t>
      </w:r>
    </w:p>
    <w:p>
      <w:pPr>
        <w:pStyle w:val="heading 2"/>
      </w:pPr>
      <w:r>
        <w:rPr>
          <w:rStyle w:val="None B"/>
          <w:rtl w:val="0"/>
        </w:rPr>
        <w:t>Sie haben Fragen oder ben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tigen Unterst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 xml:space="preserve">tzung? </w:t>
      </w:r>
    </w:p>
    <w:p>
      <w:pPr>
        <w:pStyle w:val="Normal0"/>
      </w:pPr>
      <w:r>
        <w:rPr>
          <w:rStyle w:val="None B"/>
          <w:rtl w:val="0"/>
        </w:rPr>
        <w:t xml:space="preserve">Rufen Sie uns an: {{DS_PHONE}} oder schreiben Sie uns unter: </w:t>
      </w:r>
      <w:r>
        <w:rPr>
          <w:rStyle w:val="Hyperlink.1"/>
          <w:rtl w:val="0"/>
        </w:rPr>
        <w:t>{{DS_EMAIL}}</w:t>
      </w:r>
      <w:r>
        <w:rPr>
          <w:rStyle w:val="None B"/>
          <w:rtl w:val="0"/>
        </w:rPr>
        <w:t>.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m="http://schemas.openxmlformats.org/officeDocument/2006/math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type="continuationNotice" w:id="-2">
    <w:p>
      <w:r>
        <w:t/>
      </w:r>
    </w:p>
  </w:footnote>
  <w:footnote w:id="1">
    <w:p>
      <w:pPr>
        <w:pStyle w:val="footnote text"/>
      </w:pPr>
      <w:r>
        <w:rPr>
          <w:rStyle w:val="footnote reference"/>
        </w:rPr>
        <w:footnoteRef/>
      </w:r>
      <w:r>
        <w:rPr>
          <w:rStyle w:val="None B"/>
          <w:rFonts w:cs="Arial Unicode MS" w:eastAsia="Arial Unicode MS"/>
          <w:rtl w:val="0"/>
        </w:rPr>
        <w:t xml:space="preserve"> </w:t>
      </w:r>
      <w:r>
        <w:rPr>
          <w:rStyle w:val="None"/>
          <w:rFonts w:cs="Arial Unicode MS" w:eastAsia="Arial Unicode MS"/>
          <w:b w:val="1"/>
          <w:bCs w:val="1"/>
          <w:sz w:val="16"/>
          <w:szCs w:val="16"/>
          <w:rtl w:val="0"/>
          <w:lang w:val="de-DE"/>
        </w:rPr>
        <w:t>Was bedeutet Bezug zu EU-Interoperabilit</w:t>
      </w:r>
      <w:r>
        <w:rPr>
          <w:rStyle w:val="None"/>
          <w:rFonts w:cs="Arial Unicode MS" w:eastAsia="Arial Unicode MS" w:hint="default"/>
          <w:b w:val="1"/>
          <w:bCs w:val="1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b w:val="1"/>
          <w:bCs w:val="1"/>
          <w:sz w:val="16"/>
          <w:szCs w:val="16"/>
          <w:rtl w:val="0"/>
          <w:lang w:val="de-DE"/>
        </w:rPr>
        <w:t>t?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 Sofern durch Ihre Regelung vorgesehen ist, dass Daten und Informationen zwischen Verwaltungen von EU-Mitgliedsstaaten ausgetauscht werden, muss nach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"https://eur-lex.europa.eu/legal-content/DE/TXT/?uri=CELEX:32024R0903%23art_3"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/>
          <w:rtl w:val="0"/>
        </w:rPr>
        <w:t>Art. 3 der Verordnung f</w:t>
      </w:r>
      <w:r>
        <w:rPr>
          <w:rStyle w:val="Hyperlink.2"/>
          <w:rFonts w:cs="Arial Unicode MS" w:eastAsia="Arial Unicode MS" w:hint="default"/>
          <w:rtl w:val="0"/>
        </w:rPr>
        <w:t>ü</w:t>
      </w:r>
      <w:r>
        <w:rPr>
          <w:rStyle w:val="Hyperlink.2"/>
          <w:rFonts w:cs="Arial Unicode MS" w:eastAsia="Arial Unicode MS"/>
          <w:rtl w:val="0"/>
        </w:rPr>
        <w:t>r ein interoperables Europa (EU) 2024/903</w:t>
      </w:r>
      <w:r>
        <w:rPr/>
        <w:fldChar w:fldCharType="end" w:fldLock="0"/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 in der Regel eine Interoperabilit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tsbewertung durchgef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ü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hrt werden.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"https://digitalcheck.dev.tech.digitalservice.dev/interoperabel?tab=hintergrund%23verbindliche-anforderungen"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/>
          <w:rtl w:val="0"/>
        </w:rPr>
        <w:t>Wann ist eine Interoperabilit</w:t>
      </w:r>
      <w:r>
        <w:rPr>
          <w:rStyle w:val="Hyperlink.2"/>
          <w:rFonts w:cs="Arial Unicode MS" w:eastAsia="Arial Unicode MS" w:hint="default"/>
          <w:rtl w:val="0"/>
        </w:rPr>
        <w:t>ä</w:t>
      </w:r>
      <w:r>
        <w:rPr>
          <w:rStyle w:val="Hyperlink.2"/>
          <w:rFonts w:cs="Arial Unicode MS" w:eastAsia="Arial Unicode MS"/>
          <w:rtl w:val="0"/>
        </w:rPr>
        <w:t>ts-Bewertung verpflichtend?</w:t>
      </w:r>
      <w:r>
        <w:rPr/>
        <w:fldChar w:fldCharType="end" w:fldLock="0"/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 Sollte sich nach den Bestimmungen der Verordnung dennoch keine Verpflichtung zu einer Bewertung ergeben und Sie m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ö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chten auch keine freiwillige Bewertung durchf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ü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hren, w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hlen Sie die Option "Nein, es ist kein Bezug vorhanden".</w:t>
      </w:r>
    </w:p>
  </w:footnote>
  <w:footnote w:id="2">
    <w:p>
      <w:pPr>
        <w:pStyle w:val="footnote text"/>
      </w:pPr>
      <w:r>
        <w:rPr>
          <w:rStyle w:val="footnote reference"/>
        </w:rPr>
        <w:footnoteRef/>
      </w:r>
      <w:r>
        <w:rPr>
          <w:rStyle w:val="None B"/>
          <w:rFonts w:cs="Arial Unicode MS" w:eastAsia="Arial Unicode MS"/>
          <w:rtl w:val="0"/>
        </w:rPr>
        <w:t xml:space="preserve"> </w:t>
      </w:r>
      <w:r>
        <w:rPr>
          <w:rStyle w:val="None"/>
          <w:rFonts w:cs="Arial Unicode MS" w:eastAsia="Arial Unicode MS"/>
          <w:b w:val="1"/>
          <w:bCs w:val="1"/>
          <w:sz w:val="16"/>
          <w:szCs w:val="16"/>
          <w:rtl w:val="0"/>
          <w:lang w:val="de-DE"/>
        </w:rPr>
        <w:t xml:space="preserve">Was ist eine verbindliche Anforderung? 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Verbindliche Anforderungen k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ö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nnen Vorgaben z. B. durch Gesetze oder Verordnungen sein. Der Begriff schlie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ß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t aber auch Vertr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ge oder Ausschreibungen ein. Entscheidend ist au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ß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erdem die Frage, ob die Vorgabe festschreibt, wie Daten zwischen Systemen verschiedener EU-L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ä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nder flie</w:t>
      </w:r>
      <w:r>
        <w:rPr>
          <w:rStyle w:val="None"/>
          <w:rFonts w:cs="Arial Unicode MS" w:eastAsia="Arial Unicode MS" w:hint="default"/>
          <w:sz w:val="16"/>
          <w:szCs w:val="16"/>
          <w:rtl w:val="0"/>
          <w:lang w:val="de-DE"/>
        </w:rPr>
        <w:t>ß</w:t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en.</w:t>
      </w:r>
    </w:p>
    <w:p>
      <w:pPr>
        <w:pStyle w:val="footnote text"/>
      </w:pP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Siehe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"https://eur-lex.europa.eu/legal-content/DE/TXT/?uri=CELEX:32024R0903%23art_2"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/>
          <w:rtl w:val="0"/>
        </w:rPr>
        <w:t>Art. 2 Nr. 15 der Verordnung f</w:t>
      </w:r>
      <w:r>
        <w:rPr>
          <w:rStyle w:val="Hyperlink.2"/>
          <w:rFonts w:cs="Arial Unicode MS" w:eastAsia="Arial Unicode MS" w:hint="default"/>
          <w:rtl w:val="0"/>
        </w:rPr>
        <w:t>ü</w:t>
      </w:r>
      <w:r>
        <w:rPr>
          <w:rStyle w:val="Hyperlink.2"/>
          <w:rFonts w:cs="Arial Unicode MS" w:eastAsia="Arial Unicode MS"/>
          <w:rtl w:val="0"/>
        </w:rPr>
        <w:t>r ein interoperables Europa (EU) 2024/903</w:t>
      </w:r>
      <w:r>
        <w:rPr/>
        <w:fldChar w:fldCharType="end" w:fldLock="0"/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.</w:t>
      </w:r>
    </w:p>
  </w:footnote>
  <w:footnote w:id="3">
    <w:p>
      <w:pPr>
        <w:pStyle w:val="footnote text"/>
        <w:spacing w:after="120"/>
      </w:pPr>
      <w:r>
        <w:rPr>
          <w:rStyle w:val="None"/>
          <w:outline w:val="0"/>
          <w:color w:val="000000"/>
          <w:u w:color="000000"/>
          <w:vertAlign w:val="superscript"/>
          <w:lang w:val="de-DE"/>
          <w14:textFill>
            <w14:solidFill>
              <w14:srgbClr w14:val="000000"/>
            </w14:solidFill>
          </w14:textFill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b w:val="1"/>
          <w:bCs w:val="1"/>
          <w:sz w:val="16"/>
          <w:szCs w:val="16"/>
          <w:rtl w:val="0"/>
          <w:lang w:val="de-DE"/>
        </w:rPr>
        <w:t>Was sind grenz</w:t>
      </w:r>
      <w:r>
        <w:rPr>
          <w:rStyle w:val="None"/>
          <w:b w:val="1"/>
          <w:bCs w:val="1"/>
          <w:sz w:val="16"/>
          <w:szCs w:val="16"/>
          <w:rtl w:val="0"/>
          <w:lang w:val="de-DE"/>
        </w:rPr>
        <w:t>ü</w:t>
      </w:r>
      <w:r>
        <w:rPr>
          <w:rStyle w:val="None"/>
          <w:b w:val="1"/>
          <w:bCs w:val="1"/>
          <w:sz w:val="16"/>
          <w:szCs w:val="16"/>
          <w:rtl w:val="0"/>
          <w:lang w:val="de-DE"/>
        </w:rPr>
        <w:t>berschreitende digitale Verwaltungsdienste?</w:t>
      </w:r>
      <w:r>
        <w:rPr>
          <w:rStyle w:val="None"/>
          <w:sz w:val="16"/>
          <w:szCs w:val="16"/>
          <w:rtl w:val="0"/>
          <w:lang w:val="de-DE"/>
        </w:rPr>
        <w:t xml:space="preserve"> Digitale transeurop</w:t>
      </w:r>
      <w:r>
        <w:rPr>
          <w:rStyle w:val="None"/>
          <w:sz w:val="16"/>
          <w:szCs w:val="16"/>
          <w:rtl w:val="0"/>
          <w:lang w:val="de-DE"/>
        </w:rPr>
        <w:t>ä</w:t>
      </w:r>
      <w:r>
        <w:rPr>
          <w:rStyle w:val="None"/>
          <w:sz w:val="16"/>
          <w:szCs w:val="16"/>
          <w:rtl w:val="0"/>
          <w:lang w:val="de-DE"/>
        </w:rPr>
        <w:t>ische Dienste sind digitale Dienste und IT-Systeme, bei denen Daten zwischen Verwaltungen von EU-Mitgliedstaaten ausgetauscht werden. Das k</w:t>
      </w:r>
      <w:r>
        <w:rPr>
          <w:rStyle w:val="None"/>
          <w:sz w:val="16"/>
          <w:szCs w:val="16"/>
          <w:rtl w:val="0"/>
          <w:lang w:val="de-DE"/>
        </w:rPr>
        <w:t>ö</w:t>
      </w:r>
      <w:r>
        <w:rPr>
          <w:rStyle w:val="None"/>
          <w:sz w:val="16"/>
          <w:szCs w:val="16"/>
          <w:rtl w:val="0"/>
          <w:lang w:val="de-DE"/>
        </w:rPr>
        <w:t>nnen grenz</w:t>
      </w:r>
      <w:r>
        <w:rPr>
          <w:rStyle w:val="None"/>
          <w:sz w:val="16"/>
          <w:szCs w:val="16"/>
          <w:rtl w:val="0"/>
          <w:lang w:val="de-DE"/>
        </w:rPr>
        <w:t>ü</w:t>
      </w:r>
      <w:r>
        <w:rPr>
          <w:rStyle w:val="None"/>
          <w:sz w:val="16"/>
          <w:szCs w:val="16"/>
          <w:rtl w:val="0"/>
          <w:lang w:val="de-DE"/>
        </w:rPr>
        <w:t>berschreitende Registerabfragen oder Meldungen sein. Die Verordnung nennt folgende Beispiele:</w:t>
      </w:r>
    </w:p>
    <w:p>
      <w:pPr>
        <w:pStyle w:val="List Paragraph"/>
        <w:numPr>
          <w:ilvl w:val="0"/>
          <w:numId w:val="3"/>
        </w:numPr>
        <w:bidi w:val="0"/>
        <w:spacing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Gegenseitige Anerkennung akademischer Diplome oder Berufsqualifikationen</w:t>
      </w:r>
    </w:p>
    <w:p>
      <w:pPr>
        <w:pStyle w:val="List Paragraph"/>
        <w:numPr>
          <w:ilvl w:val="0"/>
          <w:numId w:val="3"/>
        </w:numPr>
        <w:bidi w:val="0"/>
        <w:spacing w:before="0"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Austausch von Fahrzeugdaten f</w:t>
      </w:r>
      <w:r>
        <w:rPr>
          <w:rStyle w:val="None"/>
          <w:sz w:val="16"/>
          <w:szCs w:val="16"/>
          <w:rtl w:val="0"/>
          <w:lang w:val="de-DE"/>
        </w:rPr>
        <w:t>ü</w:t>
      </w:r>
      <w:r>
        <w:rPr>
          <w:rStyle w:val="None"/>
          <w:sz w:val="16"/>
          <w:szCs w:val="16"/>
          <w:rtl w:val="0"/>
          <w:lang w:val="de-DE"/>
        </w:rPr>
        <w:t>r die Verkehrssicherheit</w:t>
      </w:r>
    </w:p>
    <w:p>
      <w:pPr>
        <w:pStyle w:val="List Paragraph"/>
        <w:numPr>
          <w:ilvl w:val="0"/>
          <w:numId w:val="3"/>
        </w:numPr>
        <w:bidi w:val="0"/>
        <w:spacing w:before="0"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 xml:space="preserve">Zugang zu Sozialversicherungs- und Gesundheitsdaten </w:t>
      </w:r>
      <w:r>
        <w:rPr>
          <w:rStyle w:val="None"/>
          <w:sz w:val="16"/>
          <w:szCs w:val="16"/>
          <w:rtl w:val="0"/>
          <w:lang w:val="de-DE"/>
        </w:rPr>
        <w:t xml:space="preserve">– </w:t>
      </w:r>
      <w:r>
        <w:rPr>
          <w:rStyle w:val="None"/>
          <w:sz w:val="16"/>
          <w:szCs w:val="16"/>
          <w:rtl w:val="0"/>
          <w:lang w:val="de-DE"/>
        </w:rPr>
        <w:t>darunter Pandemie- und Impfbescheinigungen</w:t>
      </w:r>
    </w:p>
    <w:p>
      <w:pPr>
        <w:pStyle w:val="List Paragraph"/>
        <w:numPr>
          <w:ilvl w:val="0"/>
          <w:numId w:val="3"/>
        </w:numPr>
        <w:bidi w:val="0"/>
        <w:spacing w:before="0"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Informationsaustausch in Bezug auf Steuern, Z</w:t>
      </w:r>
      <w:r>
        <w:rPr>
          <w:rStyle w:val="None"/>
          <w:sz w:val="16"/>
          <w:szCs w:val="16"/>
          <w:rtl w:val="0"/>
          <w:lang w:val="de-DE"/>
        </w:rPr>
        <w:t>ö</w:t>
      </w:r>
      <w:r>
        <w:rPr>
          <w:rStyle w:val="None"/>
          <w:sz w:val="16"/>
          <w:szCs w:val="16"/>
          <w:rtl w:val="0"/>
          <w:lang w:val="de-DE"/>
        </w:rPr>
        <w:t xml:space="preserve">lle, Vergabe </w:t>
      </w:r>
      <w:r>
        <w:rPr>
          <w:rStyle w:val="None"/>
          <w:sz w:val="16"/>
          <w:szCs w:val="16"/>
          <w:rtl w:val="0"/>
          <w:lang w:val="de-DE"/>
        </w:rPr>
        <w:t>ö</w:t>
      </w:r>
      <w:r>
        <w:rPr>
          <w:rStyle w:val="None"/>
          <w:sz w:val="16"/>
          <w:szCs w:val="16"/>
          <w:rtl w:val="0"/>
          <w:lang w:val="de-DE"/>
        </w:rPr>
        <w:t>ffentlicher Auftr</w:t>
      </w:r>
      <w:r>
        <w:rPr>
          <w:rStyle w:val="None"/>
          <w:sz w:val="16"/>
          <w:szCs w:val="16"/>
          <w:rtl w:val="0"/>
          <w:lang w:val="de-DE"/>
        </w:rPr>
        <w:t>ä</w:t>
      </w:r>
      <w:r>
        <w:rPr>
          <w:rStyle w:val="None"/>
          <w:sz w:val="16"/>
          <w:szCs w:val="16"/>
          <w:rtl w:val="0"/>
          <w:lang w:val="de-DE"/>
        </w:rPr>
        <w:t>ge</w:t>
      </w:r>
    </w:p>
    <w:p>
      <w:pPr>
        <w:pStyle w:val="List Paragraph"/>
        <w:numPr>
          <w:ilvl w:val="0"/>
          <w:numId w:val="3"/>
        </w:numPr>
        <w:bidi w:val="0"/>
        <w:spacing w:before="0" w:after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Digitale F</w:t>
      </w:r>
      <w:r>
        <w:rPr>
          <w:rStyle w:val="None"/>
          <w:sz w:val="16"/>
          <w:szCs w:val="16"/>
          <w:rtl w:val="0"/>
          <w:lang w:val="de-DE"/>
        </w:rPr>
        <w:t>ü</w:t>
      </w:r>
      <w:r>
        <w:rPr>
          <w:rStyle w:val="None"/>
          <w:sz w:val="16"/>
          <w:szCs w:val="16"/>
          <w:rtl w:val="0"/>
          <w:lang w:val="de-DE"/>
        </w:rPr>
        <w:t>hrerscheine</w:t>
      </w:r>
    </w:p>
    <w:p>
      <w:pPr>
        <w:pStyle w:val="List Paragraph"/>
        <w:numPr>
          <w:ilvl w:val="0"/>
          <w:numId w:val="3"/>
        </w:numPr>
        <w:bidi w:val="0"/>
        <w:spacing w:before="0"/>
        <w:ind w:right="0"/>
        <w:jc w:val="left"/>
        <w:rPr>
          <w:sz w:val="16"/>
          <w:szCs w:val="16"/>
          <w:rtl w:val="0"/>
          <w:lang w:val="de-DE"/>
        </w:rPr>
      </w:pPr>
      <w:r>
        <w:rPr>
          <w:rStyle w:val="None"/>
          <w:sz w:val="16"/>
          <w:szCs w:val="16"/>
          <w:rtl w:val="0"/>
          <w:lang w:val="de-DE"/>
        </w:rPr>
        <w:t>Handelsregister</w:t>
      </w:r>
    </w:p>
    <w:p>
      <w:pPr>
        <w:pStyle w:val="Normal.0"/>
      </w:pP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 xml:space="preserve">Siehe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"https://eur-lex.europa.eu/legal-content/DE/TXT/?uri=CELEX:32024R0903%23rct_6"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/>
          <w:rtl w:val="0"/>
        </w:rPr>
        <w:t>ErwG 6 der Verordnung (EU) 2024/903</w:t>
      </w:r>
      <w:r>
        <w:rPr/>
        <w:fldChar w:fldCharType="end" w:fldLock="0"/>
      </w:r>
      <w:r>
        <w:rPr>
          <w:rStyle w:val="None"/>
          <w:rFonts w:cs="Arial Unicode MS" w:eastAsia="Arial Unicode MS"/>
          <w:sz w:val="16"/>
          <w:szCs w:val="16"/>
          <w:rtl w:val="0"/>
          <w:lang w:val="de-DE"/>
        </w:rPr>
        <w:t>.</w:t>
      </w:r>
    </w:p>
  </w:footnote>
  <w:footnote w:id="4">
    <w:p>
      <w:pPr>
        <w:pStyle w:val="footnote text"/>
        <w:spacing w:before="0"/>
      </w:pPr>
      <w:r>
        <w:rPr>
          <w:rStyle w:val="None"/>
          <w:vertAlign w:val="superscript"/>
          <w:lang w:val="de-DE"/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sz w:val="16"/>
          <w:szCs w:val="16"/>
          <w:rtl w:val="0"/>
          <w:lang w:val="de-DE"/>
        </w:rPr>
        <w:t xml:space="preserve">Beispiel: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Eine Regelung sieht vor, dass eine zust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ndige deutsche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rde Nachweise zu Bildungsabschl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ssen direkt bei den zust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ndigen Stellen anderer EU-Mitgliedstaaten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berpr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fen kann. Gleichzeitig wird den ausl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ndischen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rden das Recht einger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umt, Abschl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sse bei deutschen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rden zu verifizieren.</w:t>
      </w:r>
    </w:p>
  </w:footnote>
  <w:footnote w:id="5">
    <w:p>
      <w:pPr>
        <w:pStyle w:val="footnote text"/>
        <w:spacing w:before="0"/>
      </w:pPr>
      <w:r>
        <w:rPr>
          <w:rStyle w:val="None"/>
          <w:outline w:val="0"/>
          <w:color w:val="000000"/>
          <w:sz w:val="22"/>
          <w:szCs w:val="22"/>
          <w:u w:color="000000"/>
          <w:vertAlign w:val="superscript"/>
          <w:lang w:val="de-DE"/>
          <w14:textFill>
            <w14:solidFill>
              <w14:srgbClr w14:val="000000"/>
            </w14:solidFill>
          </w14:textFill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Szenario: internationale Gewerbeummeldung.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Wenn ein Unternehmen seinen Standort von Deutschland nach Spanien verlegt, sollten die beteiligten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rden beider L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nder (z. B.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ber das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Single Digital Gateway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)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zusammenarbeiten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 k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nnen, damit die Gewerbeummeldung abgewickelt werden kann. Dazu m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ssen die organisatorischen Prozesse und Zust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ndigkeiten vorhanden sein.</w:t>
      </w:r>
    </w:p>
  </w:footnote>
  <w:footnote w:id="6">
    <w:p>
      <w:pPr>
        <w:pStyle w:val="footnote text"/>
        <w:spacing w:before="0"/>
      </w:pPr>
      <w:r>
        <w:rPr>
          <w:rStyle w:val="None"/>
          <w:outline w:val="0"/>
          <w:color w:val="000000"/>
          <w:sz w:val="22"/>
          <w:szCs w:val="22"/>
          <w:u w:color="000000"/>
          <w:vertAlign w:val="superscript"/>
          <w:lang w:val="de-DE"/>
          <w14:textFill>
            <w14:solidFill>
              <w14:srgbClr w14:val="000000"/>
            </w14:solidFill>
          </w14:textFill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Beispiel: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Das Datenfeld f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r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„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Wohnsitz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“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wird in ganz Europa nach demselben Standard (z. B. den </w:t>
      </w:r>
      <w:r>
        <w:rPr>
          <w:rStyle w:val="Hyperlink.5"/>
        </w:rPr>
        <w:fldChar w:fldCharType="begin" w:fldLock="0"/>
      </w:r>
      <w:r>
        <w:rPr>
          <w:rStyle w:val="Hyperlink.5"/>
        </w:rPr>
        <w:instrText xml:space="preserve"> HYPERLINK "https://digitalcheck.bund.de/interoperabel/loesungen/core-vocabularies"</w:instrText>
      </w:r>
      <w:r>
        <w:rPr>
          <w:rStyle w:val="Hyperlink.5"/>
        </w:rPr>
        <w:fldChar w:fldCharType="separate" w:fldLock="0"/>
      </w:r>
      <w:r>
        <w:rPr>
          <w:rStyle w:val="Hyperlink.5"/>
          <w:rtl w:val="0"/>
          <w:lang w:val="de-DE"/>
        </w:rPr>
        <w:t>Semantic Core Vocabularies</w:t>
      </w:r>
      <w:r>
        <w:rPr/>
        <w:fldChar w:fldCharType="end" w:fldLock="0"/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) definiert. So verstehen das spanische System und das deutsche System dasselbe.</w:t>
      </w:r>
    </w:p>
    <w:p>
      <w:pPr>
        <w:pStyle w:val="Normal.0"/>
        <w:spacing w:before="0" w:after="0"/>
      </w:pP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Dieser Standard wird in der Regelung referenziert und im Vollzug genutzt.</w:t>
      </w:r>
    </w:p>
  </w:footnote>
  <w:footnote w:id="7">
    <w:p>
      <w:pPr>
        <w:pStyle w:val="footnote text"/>
        <w:spacing w:before="0"/>
      </w:pPr>
      <w:r>
        <w:rPr>
          <w:rStyle w:val="None"/>
          <w:outline w:val="0"/>
          <w:color w:val="000000"/>
          <w:sz w:val="22"/>
          <w:szCs w:val="22"/>
          <w:u w:color="000000"/>
          <w:vertAlign w:val="superscript"/>
          <w:lang w:val="de-DE"/>
          <w14:textFill>
            <w14:solidFill>
              <w14:srgbClr w14:val="000000"/>
            </w14:solidFill>
          </w14:textFill>
        </w:rPr>
        <w:footnoteRef/>
      </w:r>
      <w:r>
        <w:rPr>
          <w:rStyle w:val="None B"/>
          <w:rtl w:val="0"/>
          <w:lang w:val="de-DE"/>
        </w:rPr>
        <w:t xml:space="preserve"> </w:t>
      </w:r>
      <w:r>
        <w:rPr>
          <w:rStyle w:val="None"/>
          <w:b w:val="1"/>
          <w:bCs w:val="1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Beispiel: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Der Austausch von Nachweisen zwischen Beh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ö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 xml:space="preserve">rden erfolgt vollautomatisch im Hintergrund 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ü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ber standardisierte Schnittstellen (APIs) und gesicherte europ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ä</w:t>
      </w:r>
      <w:r>
        <w:rPr>
          <w:rStyle w:val="None"/>
          <w:outline w:val="0"/>
          <w:color w:val="0b0c0c"/>
          <w:sz w:val="16"/>
          <w:szCs w:val="16"/>
          <w:u w:color="0b0c0c"/>
          <w:rtl w:val="0"/>
          <w:lang w:val="de-DE"/>
          <w14:textFill>
            <w14:solidFill>
              <w14:srgbClr w14:val="0B0C0C"/>
            </w14:solidFill>
          </w14:textFill>
        </w:rPr>
        <w:t>ische Netze.</w:t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Normal0"/>
      <w:tabs>
        <w:tab w:val="left" w:pos="453"/>
        <w:tab w:val="right" w:pos="4330"/>
      </w:tabs>
      <w:spacing w:before="120" w:line="360" w:lineRule="auto"/>
      <w:jc w:val="right"/>
      <w:rPr>
        <w:rStyle w:val="None B"/>
      </w:rPr>
    </w:pPr>
    <w:r>
      <w:rPr>
        <w:rStyle w:val="None B"/>
        <w:rtl w:val="0"/>
        <w:lang w:val="de-DE"/>
      </w:rPr>
      <w:t>Version {{TEMPLATE_TYPE}} Juli 2026 Datum: {{TIMESTAMP}}</w:t>
    </w:r>
  </w:p>
  <w:p>
    <w:pPr>
      <w:pStyle w:val="Normal0"/>
      <w:tabs>
        <w:tab w:val="left" w:pos="453"/>
        <w:tab w:val="right" w:pos="4330"/>
      </w:tabs>
      <w:spacing w:before="120" w:line="360" w:lineRule="auto"/>
      <w:jc w:val="right"/>
    </w:pPr>
    <w:r>
      <w:rPr>
        <w:rStyle w:val="None B"/>
      </w:rPr>
      <w:drawing xmlns:a="http://schemas.openxmlformats.org/drawingml/2006/main">
        <wp:inline distT="0" distB="0" distL="0" distR="0">
          <wp:extent cx="1343025" cy="276225"/>
          <wp:effectExtent l="0" t="0" r="0" b="0"/>
          <wp:docPr id="1073741825" name="officeArt object" descr="Logo des Digitalchecks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Logo des Digitalchecks" descr="Logo des Digitalchecks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27622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."/>
      <w:lvlJc w:val="left"/>
      <w:pPr>
        <w:ind w:left="340" w:hanging="2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lvl w:ilvl="0">
      <w:start w:val="1"/>
      <w:numFmt w:val="bullet"/>
      <w:suff w:val="tab"/>
      <w:lvlText w:val="•"/>
      <w:lvlJc w:val="left"/>
      <w:pPr>
        <w:ind w:left="590" w:hanging="59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ind w:left="737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ind w:left="1191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1645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ind w:left="2099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ind w:left="2553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3007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ind w:left="3461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ind w:left="3915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lvl w:ilvl="0">
      <w:start w:val="1"/>
      <w:numFmt w:val="bullet"/>
      <w:suff w:val="tab"/>
      <w:lvlText w:val="·"/>
      <w:lvlJc w:val="left"/>
      <w:pPr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numStyleLink w:val="Imported Style 3"/>
  </w:abstractNum>
  <w:abstractNum w:abstractNumId="4">
    <w:multiLevelType w:val="hybridMultilevel"/>
    <w:styleLink w:val="Imported Style 3"/>
    <w:lvl w:ilvl="0">
      <w:start w:val="1"/>
      <w:numFmt w:val="bullet"/>
      <w:suff w:val="tab"/>
      <w:lvlText w:val="•"/>
      <w:lvlJc w:val="left"/>
      <w:pPr>
        <w:ind w:left="360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86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58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30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02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74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46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518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590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footnotePr>
    <w:numFmt w:val="decimal"/>
    <w:numStart w:val="1"/>
    <w:numRestart w:val="continuous"/>
    <w:footnote w:id="-1"/>
    <w:footnote w:id="0"/>
    <w:footnote w:id="-2"/>
  </w:foot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Normal0">
    <w:name w:val="Normal0"/>
    <w:next w:val="Normal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 B">
    <w:name w:val="None B"/>
    <w:rPr>
      <w:lang w:val="de-DE"/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 A">
    <w:name w:val="Title A"/>
    <w:next w:val="Title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heading 2">
    <w:name w:val="heading 2"/>
    <w:next w:val="heading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0" w:after="120" w:line="300" w:lineRule="auto"/>
      <w:ind w:left="0" w:right="0" w:firstLine="0"/>
      <w:jc w:val="left"/>
      <w:outlineLvl w:val="1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Fett1">
    <w:name w:val="Fett1"/>
    <w:next w:val="Fett1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heading 1">
    <w:name w:val="heading 1"/>
    <w:next w:val="heading 1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840" w:after="120" w:line="300" w:lineRule="auto"/>
      <w:ind w:left="0" w:right="0" w:firstLine="0"/>
      <w:jc w:val="left"/>
      <w:outlineLvl w:val="0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Textbox">
    <w:name w:val="Textbox"/>
    <w:next w:val="Textbox"/>
    <w:pPr>
      <w:keepNext w:val="0"/>
      <w:keepLines w:val="0"/>
      <w:pageBreakBefore w:val="0"/>
      <w:widowControl w:val="1"/>
      <w:pBdr>
        <w:top w:val="single" w:color="000000" w:sz="2" w:space="0" w:shadow="0" w:frame="0"/>
        <w:left w:val="single" w:color="000000" w:sz="2" w:space="0" w:shadow="0" w:frame="0"/>
        <w:bottom w:val="single" w:color="000000" w:sz="2" w:space="0" w:shadow="0" w:frame="0"/>
        <w:right w:val="single" w:color="000000" w:sz="2" w:space="0" w:shadow="0" w:frame="0"/>
      </w:pBdr>
      <w:shd w:val="clear" w:color="auto" w:fill="f2f6f8"/>
      <w:suppressAutoHyphens w:val="0"/>
      <w:bidi w:val="0"/>
      <w:spacing w:before="60" w:after="120" w:line="36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Erklärung Markierung">
    <w:name w:val="Erklärung Markierung"/>
    <w:next w:val="Erklärung Markierung"/>
    <w:pPr>
      <w:keepNext w:val="0"/>
      <w:keepLines w:val="0"/>
      <w:pageBreakBefore w:val="0"/>
      <w:widowControl w:val="1"/>
      <w:shd w:val="clear" w:color="auto" w:fill="fff9d2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Textbox Label">
    <w:name w:val="Textbox Label"/>
    <w:next w:val="Textbox Label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240" w:after="120" w:line="300" w:lineRule="auto"/>
      <w:ind w:left="708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6"/>
      <w:szCs w:val="16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240" w:lineRule="auto"/>
      <w:ind w:left="0" w:right="0" w:firstLine="0"/>
      <w:jc w:val="left"/>
      <w:outlineLvl w:val="9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character" w:styleId="Hyperlink.0">
    <w:name w:val="Hyperlink.0"/>
    <w:basedOn w:val="Link"/>
    <w:next w:val="Hyperlink.0"/>
    <w:rPr>
      <w:outline w:val="0"/>
      <w:color w:val="0563c1"/>
      <w:u w:color="0563c1"/>
      <w14:textFill>
        <w14:solidFill>
          <w14:srgbClr w14:val="0563C1"/>
        </w14:solidFill>
      </w14:textFill>
    </w:rPr>
  </w:style>
  <w:style w:type="character" w:styleId="None">
    <w:name w:val="None"/>
  </w:style>
  <w:style w:type="character" w:styleId="Hyperlink.1">
    <w:name w:val="Hyperlink.1"/>
    <w:basedOn w:val="None"/>
    <w:next w:val="Hyperlink.1"/>
    <w:rPr>
      <w:outline w:val="0"/>
      <w:color w:val="0563c1"/>
      <w:u w:val="single" w:color="0563c1"/>
      <w14:textFill>
        <w14:solidFill>
          <w14:srgbClr w14:val="0563C1"/>
        </w14:solidFill>
      </w14:textFill>
    </w:rPr>
  </w:style>
  <w:style w:type="character" w:styleId="footnote reference">
    <w:name w:val="footnote reference"/>
    <w:rPr>
      <w:vertAlign w:val="superscript"/>
    </w:rPr>
  </w:style>
  <w:style w:type="paragraph" w:styleId="footnote text">
    <w:name w:val="footnote text"/>
    <w:next w:val="footnote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0" w:line="240" w:lineRule="auto"/>
      <w:ind w:left="0" w:right="0" w:firstLine="0"/>
      <w:jc w:val="left"/>
      <w:outlineLvl w:val="9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character" w:styleId="Hyperlink.2">
    <w:name w:val="Hyperlink.2"/>
    <w:basedOn w:val="Link"/>
    <w:next w:val="Hyperlink.2"/>
    <w:rPr>
      <w:rFonts w:ascii="Arial" w:cs="Arial" w:hAnsi="Arial" w:eastAsia="Arial"/>
      <w:strike w:val="0"/>
      <w:dstrike w:val="0"/>
      <w:outline w:val="0"/>
      <w:color w:val="1155cc"/>
      <w:sz w:val="16"/>
      <w:szCs w:val="16"/>
      <w:u w:val="none" w:color="1155cc"/>
      <w14:textFill>
        <w14:solidFill>
          <w14:srgbClr w14:val="1155CC"/>
        </w14:solidFill>
      </w14:textFill>
    </w:rPr>
  </w:style>
  <w:style w:type="character" w:styleId="Hyperlink.3">
    <w:name w:val="Hyperlink.3"/>
    <w:basedOn w:val="Link"/>
    <w:next w:val="Hyperlink.3"/>
    <w:rPr>
      <w:rFonts w:ascii="Arial" w:cs="Arial" w:hAnsi="Arial" w:eastAsia="Arial"/>
      <w:b w:val="1"/>
      <w:bCs w:val="1"/>
    </w:rPr>
  </w:style>
  <w:style w:type="character" w:styleId="Hyperlink.4">
    <w:name w:val="Hyperlink.4"/>
    <w:basedOn w:val="None"/>
    <w:next w:val="Hyperlink.4"/>
    <w:rPr>
      <w:rFonts w:ascii="Arial" w:cs="Arial" w:hAnsi="Arial" w:eastAsia="Arial"/>
      <w:outline w:val="0"/>
      <w:color w:val="0563c1"/>
      <w:u w:val="single" w:color="0563c1"/>
      <w14:textFill>
        <w14:solidFill>
          <w14:srgbClr w14:val="0563C1"/>
        </w14:solidFill>
      </w14:textFill>
    </w:rPr>
  </w:style>
  <w:style w:type="character" w:styleId="Hyperlink.5">
    <w:name w:val="Hyperlink.5"/>
    <w:basedOn w:val="Link"/>
    <w:next w:val="Hyperlink.5"/>
    <w:rPr>
      <w:rFonts w:ascii="Arial" w:cs="Arial" w:hAnsi="Arial" w:eastAsia="Arial"/>
      <w:i w:val="1"/>
      <w:iCs w:val="1"/>
      <w:strike w:val="0"/>
      <w:dstrike w:val="0"/>
      <w:outline w:val="0"/>
      <w:color w:val="1155cc"/>
      <w:sz w:val="16"/>
      <w:szCs w:val="16"/>
      <w:u w:val="none" w:color="1155cc"/>
      <w14:textFill>
        <w14:solidFill>
          <w14:srgbClr w14:val="1155CC"/>
        </w14:solidFill>
      </w14:textFill>
    </w:rPr>
  </w:style>
  <w:style w:type="numbering" w:styleId="Imported Style 3">
    <w:name w:val="Imported Style 3"/>
    <w:pPr>
      <w:numPr>
        <w:numId w:val="4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