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0"/>
      </w:pPr>
      <w:r>
        <w:rPr>
          <w:rStyle w:val="None B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86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7129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llte Dokumentation an </w:t>
            </w:r>
            <w:r>
              <w:rPr>
                <w:shd w:val="nil" w:color="auto" w:fill="auto"/>
                <w:rtl w:val="0"/>
                <w:lang w:val="de-DE"/>
              </w:rPr>
              <w:t>Ihre zust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ndige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fstelle. Sollte es keine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 geben, dient die Dokumentation zur Selbstpr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fung</w:t>
            </w:r>
            <w:r>
              <w:rPr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r Bundesebene: </w:t>
            </w: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r Landesebene: Bitte informieren Sie sich auf Ihrer Landes-Unterseite, wie Sie mit der Dokumentation weiter verfahren.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shd w:val="nil" w:color="auto" w:fill="auto"/>
                <w:rtl w:val="0"/>
                <w:lang w:val="de-DE"/>
              </w:rPr>
              <w:t xml:space="preserve"> und Skizzen sind vom NKR</w:t>
            </w:r>
            <w:r>
              <w:rPr>
                <w:shd w:val="nil" w:color="auto" w:fill="auto"/>
                <w:rtl w:val="0"/>
                <w:lang w:val="de-DE"/>
              </w:rPr>
              <w:t xml:space="preserve"> und weiteren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fstellen</w:t>
            </w:r>
            <w:r>
              <w:rPr>
                <w:shd w:val="nil" w:color="auto" w:fill="auto"/>
                <w:rtl w:val="0"/>
                <w:lang w:val="de-DE"/>
              </w:rPr>
              <w:t xml:space="preserve"> gern gesehen. H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tl w:val="0"/>
                <w:lang w:val="de-DE"/>
              </w:rPr>
              <w:t xml:space="preserve">Bei </w:t>
            </w:r>
            <w:r>
              <w:rPr>
                <w:b w:val="1"/>
                <w:bCs w:val="1"/>
                <w:rtl w:val="0"/>
                <w:lang w:val="de-DE"/>
              </w:rPr>
              <w:t>Interoperabilit</w:t>
            </w:r>
            <w:r>
              <w:rPr>
                <w:b w:val="1"/>
                <w:bCs w:val="1"/>
                <w:rtl w:val="0"/>
                <w:lang w:val="de-DE"/>
              </w:rPr>
              <w:t>ä</w:t>
            </w:r>
            <w:r>
              <w:rPr>
                <w:b w:val="1"/>
                <w:bCs w:val="1"/>
                <w:rtl w:val="0"/>
                <w:lang w:val="de-DE"/>
              </w:rPr>
              <w:t>tsbezug</w:t>
            </w:r>
            <w:r>
              <w:rPr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>
                <w:rtl w:val="0"/>
                <w:lang w:val="de-DE"/>
              </w:rPr>
              <w:t>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 xml:space="preserve"> kann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.</w:t>
            </w:r>
          </w:p>
        </w:tc>
      </w:tr>
    </w:tbl>
    <w:p>
      <w:pPr>
        <w:pStyle w:val="Normal0"/>
        <w:widowControl w:val="0"/>
        <w:spacing w:line="240" w:lineRule="auto"/>
        <w:ind w:left="756" w:hanging="756"/>
      </w:pPr>
    </w:p>
    <w:p>
      <w:pPr>
        <w:pStyle w:val="Normal0"/>
        <w:widowControl w:val="0"/>
        <w:spacing w:line="240" w:lineRule="auto"/>
        <w:ind w:left="648" w:hanging="648"/>
      </w:pPr>
    </w:p>
    <w:p>
      <w:pPr>
        <w:pStyle w:val="Normal0"/>
        <w:widowControl w:val="0"/>
        <w:spacing w:line="240" w:lineRule="auto"/>
        <w:ind w:left="540" w:hanging="540"/>
      </w:pPr>
    </w:p>
    <w:p>
      <w:pPr>
        <w:pStyle w:val="Normal0"/>
        <w:widowControl w:val="0"/>
        <w:spacing w:line="240" w:lineRule="auto"/>
        <w:ind w:left="432" w:hanging="432"/>
      </w:pPr>
    </w:p>
    <w:p>
      <w:pPr>
        <w:pStyle w:val="Normal0"/>
        <w:widowControl w:val="0"/>
        <w:spacing w:line="240" w:lineRule="auto"/>
        <w:ind w:left="324" w:hanging="324"/>
      </w:pPr>
    </w:p>
    <w:p>
      <w:pPr>
        <w:pStyle w:val="Normal0"/>
        <w:widowControl w:val="0"/>
        <w:spacing w:line="240" w:lineRule="auto"/>
        <w:ind w:left="216" w:hanging="216"/>
      </w:pPr>
    </w:p>
    <w:p>
      <w:pPr>
        <w:pStyle w:val="Normal0"/>
        <w:widowControl w:val="0"/>
        <w:spacing w:line="240" w:lineRule="auto"/>
        <w:ind w:left="108" w:hanging="108"/>
      </w:pPr>
    </w:p>
    <w:p>
      <w:pPr>
        <w:pStyle w:val="Normal0"/>
        <w:widowControl w:val="0"/>
        <w:spacing w:line="240" w:lineRule="auto"/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shd w:val="clear" w:color="auto" w:fill="00ff00"/>
        </w:rPr>
      </w:pPr>
    </w:p>
    <w:p>
      <w:pPr>
        <w:pStyle w:val="heading 1"/>
        <w:spacing w:before="720"/>
      </w:pPr>
      <w:r>
        <w:rPr>
          <w:b w:val="1"/>
          <w:bCs w:val="1"/>
          <w:rtl w:val="0"/>
          <w:lang w:val="de-DE"/>
        </w:rPr>
        <w:t>1. Ihr Regelungsvorhaben</w:t>
      </w:r>
    </w:p>
    <w:p>
      <w:pPr>
        <w:pStyle w:val="heading 2"/>
      </w:pPr>
      <w:r>
        <w:rPr>
          <w:rStyle w:val="None B"/>
          <w:rtl w:val="0"/>
          <w:lang w:val="de-DE"/>
        </w:rPr>
        <w:t>Tragen Sie den Titel Ihres Regelungsvorhabens ein</w:t>
      </w:r>
    </w:p>
    <w:p>
      <w:pPr>
        <w:pStyle w:val="Textbox"/>
      </w:pPr>
      <w:r>
        <w:rPr>
          <w:rStyle w:val="None B"/>
          <w:rtl w:val="0"/>
          <w:lang w:val="de-DE"/>
        </w:rPr>
        <w:t>{{POLICY_TITLE}}</w:t>
      </w:r>
    </w:p>
    <w:p>
      <w:pPr>
        <w:pStyle w:val="heading 2"/>
      </w:pPr>
      <w:r>
        <w:rPr>
          <w:rStyle w:val="None B"/>
          <w:rtl w:val="0"/>
          <w:lang w:val="de-DE"/>
        </w:rPr>
        <w:t>Ministerium / Organisation</w:t>
      </w:r>
    </w:p>
    <w:p>
      <w:pPr>
        <w:pStyle w:val="Textbox"/>
        <w:rPr>
          <w:sz w:val="24"/>
          <w:szCs w:val="24"/>
        </w:rPr>
      </w:pPr>
      <w:r>
        <w:rPr>
          <w:rStyle w:val="None B"/>
          <w:rtl w:val="0"/>
          <w:lang w:val="de-DE"/>
        </w:rPr>
        <w:t>{{POLICY_ORGANIZATION}}</w:t>
      </w:r>
    </w:p>
    <w:p>
      <w:pPr>
        <w:pStyle w:val="heading 1"/>
        <w:spacing w:before="60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0"/>
        <w:keepNext w:val="1"/>
        <w:rPr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B"/>
          <w:rtl w:val="0"/>
          <w:lang w:val="de-DE"/>
        </w:rPr>
        <w:t>Entspricht die Umsetzung des Regelungsvorhabens den Bed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rfnissen der Betroffenen? Wie haben Sie das 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berpr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{{PARTICIPATION_FORMATS}}</w:t>
      </w:r>
    </w:p>
    <w:p>
      <w:pPr>
        <w:pStyle w:val="heading 2"/>
      </w:pPr>
      <w:r>
        <w:rPr>
          <w:rStyle w:val="None B"/>
          <w:rtl w:val="0"/>
          <w:lang w:val="de-DE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{{PARTICIPATION_RESULTS}}</w:t>
      </w:r>
    </w:p>
    <w:p>
      <w:pPr>
        <w:pStyle w:val="Normal0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0"/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4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{{PRINCIPLE_1_ASPECTS_AVAILABLE}}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{{PRINCIPLE_1_ASPECTS}}</w:t>
      </w:r>
    </w:p>
    <w:p>
      <w:pPr>
        <w:pStyle w:val="Textbox Label"/>
        <w:ind w:left="720" w:firstLine="0"/>
        <w:rPr>
          <w:rStyle w:val="None B"/>
        </w:rPr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>{{PRINCIPLE_1_REASONING}}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0"/>
      </w:pPr>
      <w:r>
        <w:rPr>
          <w:rStyle w:val="None B"/>
          <w:rtl w:val="0"/>
          <w:lang w:val="de-DE"/>
        </w:rPr>
        <w:t>{{PRINCIPLE_2_DESCRIPTION}}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{{PRINCIPLE_2_ASPECTS_AVAILABLE}}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0"/>
      </w:pPr>
      <w:r>
        <w:rPr>
          <w:rStyle w:val="None B"/>
          <w:rtl w:val="0"/>
          <w:lang w:val="de-DE"/>
        </w:rPr>
        <w:t>{{PRINCIPLE_3_DESCRIPTION}}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{{PRINCIPLE_3_ASPECTS_AVAILABLE}}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{{PRINCIPLE_3_REASONING}}</w:t>
      </w:r>
    </w:p>
    <w:p>
      <w:pPr>
        <w:pStyle w:val="Normal0"/>
        <w:rPr>
          <w:rStyle w:val="None B"/>
        </w:rPr>
      </w:pP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0"/>
      </w:pPr>
      <w:r>
        <w:rPr>
          <w:rStyle w:val="None B"/>
          <w:rtl w:val="0"/>
          <w:lang w:val="de-DE"/>
        </w:rPr>
        <w:t>{{PRINCIPLE_4_DESCRIPTION}}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{{PRINCIPLE_4_ASPECTS_AVAILABLE}}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0"/>
      </w:pPr>
      <w:r>
        <w:rPr>
          <w:rStyle w:val="None B"/>
          <w:rtl w:val="0"/>
          <w:lang w:val="de-DE"/>
        </w:rPr>
        <w:t>{{PRINCIPLE_5_DESCRIPTION}}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{{PRINCIPLE_5_ASPECTS_AVAILABLE}}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{{PRINCIPLE_5_REASONING}}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 A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</w:t>
      </w:r>
      <w:r>
        <w:rPr>
          <w:rStyle w:val="None B"/>
        </w:rPr>
        <w:br w:type="textWrapping"/>
      </w:r>
      <w:r>
        <w:rPr>
          <w:b w:val="1"/>
          <w:bCs w:val="1"/>
          <w:rtl w:val="0"/>
          <w:lang w:val="de-DE"/>
        </w:rPr>
        <w:t>(Interoperabilit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ts-Bewertung)</w:t>
      </w:r>
    </w:p>
    <w:p>
      <w:pPr>
        <w:pStyle w:val="Normal0"/>
      </w:pPr>
      <w:r>
        <w:rPr>
          <w:rStyle w:val="None B"/>
          <w:rtl w:val="0"/>
          <w:lang w:val="de-DE"/>
        </w:rPr>
        <w:t xml:space="preserve">Sofern durch Ihre Regelung vorgesehen ist, dass Daten und Informationen zwischen Verwaltungen von EU-Mitgliedsstaaten ausgetauscht werden, muss nach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"https://eur-lex.europa.eu/legal-content/DE/TXT/?uri=CELEX:32024R0903%23art_3"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Art. 3 der Verordnung f</w:t>
      </w:r>
      <w:r>
        <w:rPr>
          <w:rStyle w:val="Hyperlink.0"/>
          <w:rtl w:val="0"/>
        </w:rPr>
        <w:t>ü</w:t>
      </w:r>
      <w:r>
        <w:rPr>
          <w:rStyle w:val="Hyperlink.0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 B"/>
          <w:rtl w:val="0"/>
          <w:lang w:val="de-DE"/>
        </w:rPr>
        <w:t xml:space="preserve"> in der Regel eine Interoperabilit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ts-Bewertung durchgef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hrt werden.</w:t>
      </w:r>
    </w:p>
    <w:p>
      <w:pPr>
        <w:pStyle w:val="Normal0"/>
      </w:pP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Bei Fragen und R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ckmeldungen </w:t>
      </w:r>
      <w:r>
        <w:rPr>
          <w:rStyle w:val="None B"/>
          <w:rtl w:val="0"/>
          <w:lang w:val="de-DE"/>
        </w:rPr>
        <w:t xml:space="preserve">wenden Sie sich an die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"https://digitalcheck.bund.de/interoperabel/nationale-kontaktstelle"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Nationale Kontaktstelle f</w:t>
      </w:r>
      <w:r>
        <w:rPr>
          <w:rStyle w:val="Hyperlink.1"/>
          <w:rtl w:val="0"/>
        </w:rPr>
        <w:t>ü</w:t>
      </w:r>
      <w:r>
        <w:rPr>
          <w:rStyle w:val="Hyperlink.1"/>
          <w:rtl w:val="0"/>
        </w:rPr>
        <w:t>r ein interoperables Europa</w:t>
      </w:r>
      <w:r>
        <w:rPr/>
        <w:fldChar w:fldCharType="end" w:fldLock="0"/>
      </w:r>
      <w:r>
        <w:rPr>
          <w:rStyle w:val="None B"/>
          <w:rtl w:val="0"/>
        </w:rPr>
        <w:t>.</w:t>
      </w:r>
    </w:p>
    <w:p>
      <w:pPr>
        <w:pStyle w:val="heading 2"/>
      </w:pPr>
      <w:r>
        <w:rPr>
          <w:rStyle w:val="None B"/>
          <w:rtl w:val="0"/>
        </w:rPr>
        <w:t>Ergab die Vorpr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fung Bezug zu EU-Interoperabilit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t?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1"/>
      </w:r>
    </w:p>
    <w:p>
      <w:pPr>
        <w:pStyle w:val="Normal.0"/>
        <w:shd w:val="clear" w:color="auto" w:fill="fff9d2"/>
        <w:spacing w:before="187" w:after="115" w:line="300" w:lineRule="auto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{{INTEROPERABILITY_OUTCOME}}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Hinweis: Bei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None"/>
          <w:rFonts w:cs="Arial Unicode MS" w:eastAsia="Arial Unicode MS"/>
          <w:b w:val="1"/>
          <w:bCs w:val="1"/>
          <w:i w:val="1"/>
          <w:iCs w:val="1"/>
          <w:rtl w:val="0"/>
          <w:lang w:val="de-DE"/>
        </w:rPr>
        <w:t>Nein, es ist kein Bezug vorhanden.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entf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llt die Interoperabilit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ts-Bewertung. Sie k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ö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nnen in diesem Dokument direkt mit dem Abschnitt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\l "Das_ist_jetzt" 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</w:rPr>
        <w:t>Das ist jetzt zu tun</w:t>
      </w:r>
      <w:r>
        <w:rPr/>
        <w:fldChar w:fldCharType="end" w:fldLock="0"/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weitermachen.</w:t>
      </w:r>
    </w:p>
    <w:p>
      <w:pPr>
        <w:pStyle w:val="Normal.0"/>
      </w:pPr>
    </w:p>
    <w:p>
      <w:pPr>
        <w:pStyle w:val="Title A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8. Verbindliche Anforderungen</w:t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In diesem Schritt wird gefragt, welche verbindlichen Anforderungen, d. h. Festlegungen im Sinne von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"https://eur-lex.europa.eu/legal-content/DE/TXT/?uri=CELEX:32024R0903%23art_2"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Art. 2 Nr. 15 der Verordnung (EU) 2024/903</w:t>
      </w:r>
      <w:r>
        <w:rPr/>
        <w:fldChar w:fldCharType="end" w:fldLock="0"/>
      </w:r>
      <w:r>
        <w:rPr>
          <w:rStyle w:val="None B"/>
          <w:rFonts w:cs="Arial Unicode MS" w:eastAsia="Arial Unicode MS"/>
          <w:rtl w:val="0"/>
        </w:rPr>
        <w:t xml:space="preserve">, von Ihrer Regelung betroffen </w:t>
      </w:r>
      <w:bookmarkStart w:name="_Int_LYnR7QKZ" w:id="5"/>
      <w:r>
        <w:rPr>
          <w:rStyle w:val="None B"/>
          <w:rFonts w:cs="Arial Unicode MS" w:eastAsia="Arial Unicode MS"/>
          <w:rtl w:val="0"/>
        </w:rPr>
        <w:t>sind.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2"/>
      </w:r>
      <w:bookmarkEnd w:id="5"/>
    </w:p>
    <w:p>
      <w:pPr>
        <w:pStyle w:val="Normal.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Geben Sie au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ß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erdem an, auf welche grenz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berschreitenden digitalen Verwaltungsdienste sich diese Anforderungen auswirken. Dies betrifft sowohl von der Regelung benannte Dienste als auch den Vollzug.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3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 B"/>
          <w:rtl w:val="0"/>
        </w:rPr>
        <w:t>In der Regelung enthaltene verbindliche Anforderungen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{{BINDING_REQUIREMENTS_TABLE}}</w:t>
      </w:r>
    </w:p>
    <w:p>
      <w:pPr>
        <w:pStyle w:val="Normal.0"/>
        <w:spacing w:line="259" w:lineRule="auto"/>
      </w:pPr>
      <w:r>
        <w:rPr>
          <w:rStyle w:val="None"/>
          <w:b w:val="1"/>
          <w:bCs w:val="1"/>
          <w:sz w:val="24"/>
          <w:szCs w:val="24"/>
          <w:rtl w:val="0"/>
          <w:lang w:val="de-DE"/>
        </w:rPr>
        <w:t>Hinweise zum Ausf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ü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llen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Bitte wiederholen Sie die Tabelle f</w:t>
      </w:r>
      <w:r>
        <w:rPr>
          <w:rStyle w:val="None"/>
          <w:rFonts w:cs="Arial Unicode MS" w:eastAsia="Arial Unicode MS" w:hint="default"/>
          <w:rtl w:val="0"/>
          <w:lang w:val="de-DE"/>
        </w:rPr>
        <w:t>ü</w:t>
      </w:r>
      <w:r>
        <w:rPr>
          <w:rStyle w:val="None"/>
          <w:rFonts w:cs="Arial Unicode MS" w:eastAsia="Arial Unicode MS"/>
          <w:rtl w:val="0"/>
          <w:lang w:val="de-DE"/>
        </w:rPr>
        <w:t>r jede verbindliche Anforderung.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Betroffene grenz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berschreitende digitale Verwaltungsdienste:</w:t>
      </w:r>
      <w:r>
        <w:rPr>
          <w:rStyle w:val="None"/>
          <w:rFonts w:cs="Arial Unicode MS" w:eastAsia="Arial Unicode MS"/>
          <w:rtl w:val="0"/>
          <w:lang w:val="de-DE"/>
        </w:rPr>
        <w:t xml:space="preserve"> 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Siehe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"https://eur-lex.europa.eu/legal-content/DE/TXT/?uri=CELEX:32024R0903%23rct_6"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rPr>
          <w:rStyle w:val="None B"/>
        </w:rPr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welche Bereiche sind diese Dienste relevant: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 B"/>
          <w:rFonts w:cs="Arial Unicode MS" w:eastAsia="Arial Unicode MS"/>
          <w:rtl w:val="0"/>
        </w:rPr>
        <w:t>Verf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 xml:space="preserve">gbare Bereiche: Verteidigung; Wirtschaftliche Angelegenheiten;  Bildung; Umweltschutz; Allgemeine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Dienste; Gesundheit; Wohnungswesen und kommunale Einrichtungen;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Ordnung und Sicherheit; Freizeit, Kultur und Religion; Sozialschutz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r wen gilt diese verbindliche Anforderung:</w:t>
      </w:r>
      <w:r>
        <w:rPr>
          <w:rStyle w:val="None B"/>
          <w:rFonts w:cs="Arial Unicode MS" w:eastAsia="Arial Unicode MS"/>
          <w:rtl w:val="0"/>
        </w:rPr>
        <w:t xml:space="preserve"> Auswahlm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glichkeiten: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(Kommunen / lokal);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Stelle (L</w:t>
      </w:r>
      <w:r>
        <w:rPr>
          <w:rStyle w:val="None B"/>
          <w:rFonts w:cs="Arial Unicode MS" w:eastAsia="Arial Unicode MS" w:hint="default"/>
          <w:rtl w:val="0"/>
        </w:rPr>
        <w:t>ä</w:t>
      </w:r>
      <w:r>
        <w:rPr>
          <w:rStyle w:val="None B"/>
          <w:rFonts w:cs="Arial Unicode MS" w:eastAsia="Arial Unicode MS"/>
          <w:rtl w:val="0"/>
        </w:rPr>
        <w:t xml:space="preserve">nder / regional),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(Bund / national); EU-Institution; EU-Agentur; EU-Einrichtung; Private Unternehmen 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Rechtliche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9.1 Rechtliche Grundlage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 B"/>
        </w:rPr>
      </w:pPr>
      <w:r>
        <w:rPr>
          <w:rStyle w:val="None B"/>
          <w:rFonts w:cs="Arial Unicode MS" w:eastAsia="Arial Unicode MS"/>
          <w:rtl w:val="0"/>
        </w:rPr>
        <w:t>Eine Regelung sollte so gestaltet sein, dass Beh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rden Daten 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ber Grenzen hinweg austauschen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rfen. Keine rechtlichen Barrieren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 einen digitalen Austausch blockieren.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4"/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rechtlichen </w:t>
      </w:r>
      <w:r>
        <w:rPr>
          <w:rStyle w:val="None B"/>
          <w:rFonts w:cs="Arial Unicode MS" w:eastAsia="Arial Unicode MS"/>
          <w:rtl w:val="0"/>
        </w:rPr>
        <w:t>Voraussetzungen 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{{IO_LEGAL_RATING}}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A wird erm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chtigt, Daten von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B abzurufen.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LEGAL_DETAIL}}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 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9.2 Organisatorische Strukturen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Interoperabilit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Zust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ndigkeiten und Prozesse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so ausgestaltet sein, dass die Zusammenarbeit zwischen Beh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 unterschiedlicher EU-Mitgliedstaaten reibungslos funktionieren kann.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5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organisatorischen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Voraussetzungen 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Antr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 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innerhalb von 3 Tagen an die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 Stelle weitergeleitet werden.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“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und Benennung der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9.3 Gemeinsame Bedeutung von Daten sicherstellen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Klarheit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was gesendet wird, auch genau so verstanden wird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 Rechtsbegriffe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gleich definiert und Datenfelder kompatibel sein, damit IT-Systeme sie zweifelsfrei verarbeiten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6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Stellt das Regelungsvorhaben sicher, dass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Definitionen von Begriffen und Datenfeldern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den Datenaustausch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EU-Grenzen erm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glichen?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Datenbegriffe werden gem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äß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dem Vokabular X einheitlich definiert.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9.4 Technische Voraussetzungen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technische Ebene der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verschiedene Verwaltungen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kompatible IT-Systeme, Datenstandards und Schnittstellen (APIs) tats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chlich miteinander kommunizieren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 - ohne manuelle Anpassungen pro Fall.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7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technischen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Voraussetzungen f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Schnittstellen entsprechen dem Standard X.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oder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Das System nutzt das Protokoll Y.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TECHNICAL_DETAIL}}</w:t>
      </w:r>
    </w:p>
    <w:p>
      <w:pPr>
        <w:pStyle w:val="Normal.0"/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10. Ver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</w:t>
      </w:r>
    </w:p>
    <w:p>
      <w:pPr>
        <w:pStyle w:val="heading 2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Wann soll der Referentenentwurf voraussichtlich auf der Webseite Ihres Ministeriums ver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 werden?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 ist geplant am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…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{{PUBLICATION_DATE}}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Der Referentenentwurf ist bereits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{{PUBLICATION_LINK}}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0"/>
      </w:pPr>
    </w:p>
    <w:p>
      <w:pPr>
        <w:pStyle w:val="Normal.0"/>
      </w:pPr>
    </w:p>
    <w:p>
      <w:pPr>
        <w:pStyle w:val="Normal.0"/>
      </w:pPr>
    </w:p>
    <w:p>
      <w:pPr>
        <w:pStyle w:val="heading 1"/>
        <w:spacing w:before="720"/>
        <w:rPr>
          <w:rStyle w:val="None"/>
          <w:b w:val="1"/>
          <w:bCs w:val="1"/>
        </w:rPr>
      </w:pPr>
    </w:p>
    <w:p>
      <w:pPr>
        <w:pStyle w:val="Normal.0"/>
        <w:spacing w:before="72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spacing w:before="720"/>
        <w:rPr>
          <w:rStyle w:val="None"/>
          <w:b w:val="1"/>
          <w:bCs w:val="1"/>
        </w:rPr>
      </w:pPr>
      <w:bookmarkStart w:name="_Das_ist_jetzt" w:id="6"/>
      <w:r>
        <w:rPr>
          <w:rStyle w:val="None"/>
          <w:b w:val="1"/>
          <w:bCs w:val="1"/>
          <w:rtl w:val="0"/>
          <w:lang w:val="de-DE"/>
        </w:rPr>
        <w:t>Das ist jetzt zu tun</w:t>
      </w:r>
      <w:bookmarkEnd w:id="6"/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B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B"/>
          <w:rtl w:val="0"/>
          <w:lang w:val="de-DE"/>
        </w:rPr>
        <w:t xml:space="preserve"> Sie die von Ihnen erstellte Dokumentation als PDF per E-Mail: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Bundesebene:</w:t>
      </w:r>
      <w:r>
        <w:rPr>
          <w:rStyle w:val="None B"/>
          <w:rtl w:val="0"/>
          <w:lang w:val="de-DE"/>
        </w:rPr>
        <w:t xml:space="preserve"> </w:t>
      </w:r>
      <w:r>
        <w:rPr>
          <w:rStyle w:val="Hyperlink.1"/>
          <w:rtl w:val="0"/>
          <w:lang w:val="de-DE"/>
        </w:rPr>
        <w:t>{{NKR_CONTACT_EMAIL}}</w:t>
      </w:r>
      <w:r>
        <w:rPr>
          <w:rStyle w:val="None B"/>
          <w:rtl w:val="0"/>
          <w:lang w:val="de-DE"/>
        </w:rPr>
        <w:t>. Der NKR (Nationaler Normenkontrollrat) 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 Ihr Vorhaben hinsichtlich der Ber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Landesebene: Bitte informieren Sie sich auf Ihrer Landes-Unterseite, wie Sie mit der Dokumentation weiter verfahren.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B"/>
          <w:rtl w:val="0"/>
          <w:lang w:val="de-DE"/>
        </w:rPr>
        <w:t xml:space="preserve"> senden Sie eine Kopie der E-Mail mit der PDF-Datei an </w:t>
      </w:r>
      <w:r>
        <w:rPr>
          <w:rStyle w:val="Hyperlink.1"/>
          <w:rtl w:val="0"/>
          <w:lang w:val="de-DE"/>
        </w:rPr>
        <w:t>{{INTEROPS_EMAIL}}</w:t>
      </w:r>
      <w:r>
        <w:rPr>
          <w:rStyle w:val="None B"/>
          <w:rtl w:val="0"/>
          <w:lang w:val="de-DE"/>
        </w:rPr>
        <w:t>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B"/>
          <w:rtl w:val="0"/>
          <w:lang w:val="de-DE"/>
        </w:rPr>
        <w:t xml:space="preserve"> und Skizzen sind vom NKR gern gesehen. H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 B"/>
          <w:rtl w:val="0"/>
          <w:lang w:val="de-DE"/>
        </w:rPr>
        <w:t>Damit ist der Digitalcheck 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Sie beendet.</w:t>
      </w:r>
    </w:p>
    <w:p>
      <w:pPr>
        <w:pStyle w:val="heading 2"/>
      </w:pPr>
      <w:r>
        <w:rPr>
          <w:rStyle w:val="None B"/>
          <w:rtl w:val="0"/>
        </w:rPr>
        <w:t>Gut zu wissen: Das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der Nationale Normenkontrollrat</w:t>
      </w:r>
    </w:p>
    <w:p>
      <w:pPr>
        <w:pStyle w:val="Normal0"/>
      </w:pPr>
      <w:r>
        <w:rPr>
          <w:rStyle w:val="None B"/>
          <w:rtl w:val="0"/>
        </w:rPr>
        <w:t>Der NKR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das Regelungsvorhaben auf M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glichkeiten der digitalen Umsetzung. Die Basis ist der von Ihnen durchgef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hrte Digitalcheck. Das wesentliche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fkriterium ist die methodische und inhaltliche Nachvollziehbarkeit. Sein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fergebnis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ffentlicht er gegebenenfalls in seinen Stellungnahmen. Wenn Sie eine Visualisierung angefertigt haben und Sie der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ffentlichung zustimmen, kann diese an die Stellungnahme angeh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B"/>
          <w:rtl w:val="0"/>
        </w:rPr>
        <w:t>Sie haben Fragen oder ben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tigen Unterst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tzung? </w:t>
      </w:r>
    </w:p>
    <w:p>
      <w:pPr>
        <w:pStyle w:val="Normal0"/>
      </w:pPr>
      <w:r>
        <w:rPr>
          <w:rStyle w:val="None B"/>
          <w:rtl w:val="0"/>
        </w:rPr>
        <w:t xml:space="preserve">Rufen Sie uns an: {{DS_PHONE}} oder schreiben Sie uns unter: </w:t>
      </w:r>
      <w:r>
        <w:rPr>
          <w:rStyle w:val="Hyperlink.1"/>
          <w:rtl w:val="0"/>
        </w:rPr>
        <w:t>{{DS_EMAIL}}</w:t>
      </w:r>
      <w:r>
        <w:rPr>
          <w:rStyle w:val="None B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Was bedeutet Bezug zu EU-Interoperabilit</w:t>
      </w:r>
      <w:r>
        <w:rPr>
          <w:rStyle w:val="None"/>
          <w:rFonts w:cs="Arial Unicode MS" w:eastAsia="Arial Unicode MS" w:hint="default"/>
          <w:b w:val="1"/>
          <w:bCs w:val="1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t?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Sofern durch Ihre Regelung vorgesehen ist, dass Daten und Informationen zwischen Verwaltungen von EU-Mitgliedsstaaten ausgetauscht werden, muss nach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"https://eur-lex.europa.eu/legal-content/DE/TXT/?uri=CELEX:32024R0903%23art_3"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3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in der Regel eine Interoperabilit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tsbewertung durchgef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hrt werden.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"https://digitalcheck.dev.tech.digitalservice.dev/interoperabel?tab=hintergrund%23verbindliche-anforderungen"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Wann ist eine Interoperabilit</w:t>
      </w:r>
      <w:r>
        <w:rPr>
          <w:rStyle w:val="Hyperlink.2"/>
          <w:rFonts w:cs="Arial Unicode MS" w:eastAsia="Arial Unicode MS" w:hint="default"/>
          <w:rtl w:val="0"/>
        </w:rPr>
        <w:t>ä</w:t>
      </w:r>
      <w:r>
        <w:rPr>
          <w:rStyle w:val="Hyperlink.2"/>
          <w:rFonts w:cs="Arial Unicode MS" w:eastAsia="Arial Unicode MS"/>
          <w:rtl w:val="0"/>
        </w:rPr>
        <w:t>ts-Bewertung verpflichtend?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Sollte sich nach den Bestimmungen der Verordnung dennoch keine Verpflichtung zu einer Bewertung ergeben und Sie m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chten auch keine freiwillige Bewertung durchf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hren, w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hlen Sie die Option "Nein, es ist kein Bezug vorhanden".</w:t>
      </w:r>
    </w:p>
  </w:footnote>
  <w:footnote w:id="2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 xml:space="preserve">Was ist eine verbindliche Anforderung? 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Verbindliche Anforderungen k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nnen Vorgaben z. B. durch Gesetze oder Verordnungen sein. Der Begriff schlie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 aber auch Vertr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ge oder Ausschreibungen ein. Entscheidend ist au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erdem die Frage, ob die Vorgabe festschreibt, wie Daten zwischen Systemen verschiedener EU-L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nder flie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en.</w:t>
      </w:r>
    </w:p>
    <w:p>
      <w:pPr>
        <w:pStyle w:val="footnote text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"https://eur-lex.europa.eu/legal-content/DE/TXT/?uri=CELEX:32024R0903%23art_2"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2 Nr. 15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3">
    <w:p>
      <w:pPr>
        <w:pStyle w:val="footnote text"/>
        <w:spacing w:after="120"/>
      </w:pPr>
      <w:r>
        <w:rPr>
          <w:rStyle w:val="None"/>
          <w:outline w:val="0"/>
          <w:color w:val="000000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Was sind grenz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ü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berschreitende digitale Verwaltungsdienste?</w:t>
      </w:r>
      <w:r>
        <w:rPr>
          <w:rStyle w:val="None"/>
          <w:sz w:val="16"/>
          <w:szCs w:val="16"/>
          <w:rtl w:val="0"/>
          <w:lang w:val="de-DE"/>
        </w:rPr>
        <w:t xml:space="preserve"> Digitale transeurop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ische Dienste sind digitale Dienste und IT-Systeme, bei denen Daten zwischen Verwaltungen von EU-Mitgliedstaaten ausgetauscht werden. Das k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nnen grenz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berschreitende Registerabfragen oder Meldungen sein. Die Verordnung nennt folgende Beispiele:</w:t>
      </w:r>
    </w:p>
    <w:p>
      <w:pPr>
        <w:pStyle w:val="List Paragraph"/>
        <w:numPr>
          <w:ilvl w:val="0"/>
          <w:numId w:val="3"/>
        </w:numPr>
        <w:bidi w:val="0"/>
        <w:spacing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Gegenseitige Anerkennung akademischer Diplome oder Berufsqualifikationen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Austausch von Fahrzeugdaten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r die Verkehrssicherheit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 xml:space="preserve">Zugang zu Sozialversicherungs- und Gesundheitsdaten </w:t>
      </w:r>
      <w:r>
        <w:rPr>
          <w:rStyle w:val="None"/>
          <w:sz w:val="16"/>
          <w:szCs w:val="16"/>
          <w:rtl w:val="0"/>
          <w:lang w:val="de-DE"/>
        </w:rPr>
        <w:t xml:space="preserve">– </w:t>
      </w:r>
      <w:r>
        <w:rPr>
          <w:rStyle w:val="None"/>
          <w:sz w:val="16"/>
          <w:szCs w:val="16"/>
          <w:rtl w:val="0"/>
          <w:lang w:val="de-DE"/>
        </w:rPr>
        <w:t>darunter Pandemie- und Impfbescheinigungen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Informationsaustausch in Bezug auf Steuern, Z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 xml:space="preserve">lle, Vergabe 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ffentlicher Auftr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ge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Digitale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hrerscheine</w:t>
      </w:r>
    </w:p>
    <w:p>
      <w:pPr>
        <w:pStyle w:val="List Paragraph"/>
        <w:numPr>
          <w:ilvl w:val="0"/>
          <w:numId w:val="3"/>
        </w:numPr>
        <w:bidi w:val="0"/>
        <w:spacing w:before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Handelsregister</w:t>
      </w:r>
    </w:p>
    <w:p>
      <w:pPr>
        <w:pStyle w:val="Normal.0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"https://eur-lex.europa.eu/legal-content/DE/TXT/?uri=CELEX:32024R0903%23rct_6"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4">
    <w:p>
      <w:pPr>
        <w:pStyle w:val="footnote text"/>
        <w:spacing w:before="0"/>
      </w:pPr>
      <w:r>
        <w:rPr>
          <w:rStyle w:val="None"/>
          <w:vertAlign w:val="superscript"/>
          <w:lang w:val="de-DE"/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sz w:val="16"/>
          <w:szCs w:val="16"/>
          <w:rtl w:val="0"/>
          <w:lang w:val="de-DE"/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Eine Regelung sieht vor, dass eine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ndige deutsche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 Nachweise zu Bildungsabschl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direkt bei den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ndigen Stellen anderer EU-Mitgliedstaaten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berpr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fen kann. Gleichzeitig wird den ausl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das Recht einger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umt, 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 bei deutschen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zu verifizieren.</w:t>
      </w:r>
    </w:p>
  </w:footnote>
  <w:footnote w:id="5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Szenario: internationale Gewerbeummeldung.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Wenn ein Unternehmen seinen Standort von Deutschland nach Spanien verlegt, sollten die beteiligten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beider 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nder (z. B.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ber das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Single Digital Gateway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)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zusammenarbeiten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 k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nnen, damit die Gewerbeummeldung abgewickelt werden kann. Dazu m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die organisatorischen Prozesse und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ndigkeiten vorhanden sein.</w:t>
      </w:r>
    </w:p>
  </w:footnote>
  <w:footnote w:id="6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Das Datenfeld f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„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Wohnsitz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“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wird in ganz Europa nach demselben Standard (z. B. den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"https://digitalcheck.bund.de/interoperabel/loesungen/core-vocabularies"</w:instrText>
      </w:r>
      <w:r>
        <w:rPr>
          <w:rStyle w:val="Hyperlink.5"/>
        </w:rPr>
        <w:fldChar w:fldCharType="separate" w:fldLock="0"/>
      </w:r>
      <w:r>
        <w:rPr>
          <w:rStyle w:val="Hyperlink.5"/>
          <w:rtl w:val="0"/>
          <w:lang w:val="de-DE"/>
        </w:rPr>
        <w:t>Semantic Core Vocabularies</w:t>
      </w:r>
      <w:r>
        <w:rPr/>
        <w:fldChar w:fldCharType="end" w:fldLock="0"/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) definiert. So verstehen das spanische System und das deutsche System dasselbe.</w:t>
      </w:r>
    </w:p>
    <w:p>
      <w:pPr>
        <w:pStyle w:val="Normal.0"/>
        <w:spacing w:before="0" w:after="0"/>
      </w:pP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Dieser Standard wird in der Regelung referenziert und im Vollzug genutzt.</w:t>
      </w:r>
    </w:p>
  </w:footnote>
  <w:footnote w:id="7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Der Austausch von Nachweisen zwischen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rden erfolgt vollautomatisch im Hintergrund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 standardisierte Schnittstellen (APIs) und gesicherte europ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ische Netze.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0"/>
      <w:tabs>
        <w:tab w:val="left" w:pos="453"/>
        <w:tab w:val="right" w:pos="4330"/>
      </w:tabs>
      <w:spacing w:before="120" w:line="360" w:lineRule="auto"/>
      <w:jc w:val="right"/>
      <w:rPr>
        <w:rStyle w:val="None B"/>
      </w:rPr>
    </w:pPr>
    <w:r>
      <w:rPr>
        <w:rStyle w:val="None B"/>
        <w:rtl w:val="0"/>
        <w:lang w:val="de-DE"/>
      </w:rPr>
      <w:t>Version {{TEMPLATE_TYPE}} Juli 2026 Datum: {{TIMESTAMP}}</w:t>
    </w:r>
  </w:p>
  <w:p>
    <w:pPr>
      <w:pStyle w:val="Normal0"/>
      <w:tabs>
        <w:tab w:val="left" w:pos="453"/>
        <w:tab w:val="right" w:pos="4330"/>
      </w:tabs>
      <w:spacing w:before="120" w:line="360" w:lineRule="auto"/>
      <w:jc w:val="right"/>
    </w:pPr>
    <w:r>
      <w:rPr>
        <w:rStyle w:val="None B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590" w:hanging="59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3"/>
  </w:abstractNum>
  <w:abstractNum w:abstractNumId="4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0">
    <w:name w:val="Normal0"/>
    <w:next w:val="Normal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B">
    <w:name w:val="None B"/>
    <w:rPr>
      <w:lang w:val="de-DE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12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2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outline w:val="0"/>
      <w:color w:val="0563c1"/>
      <w:u w:color="0563c1"/>
      <w14:textFill>
        <w14:solidFill>
          <w14:srgbClr w14:val="0563C1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Hyperlink.2">
    <w:name w:val="Hyperlink.2"/>
    <w:basedOn w:val="Link"/>
    <w:next w:val="Hyperlink.2"/>
    <w:rPr>
      <w:rFonts w:ascii="Arial" w:cs="Arial" w:hAnsi="Arial" w:eastAsia="Arial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character" w:styleId="Hyperlink.3">
    <w:name w:val="Hyperlink.3"/>
    <w:basedOn w:val="Link"/>
    <w:next w:val="Hyperlink.3"/>
    <w:rPr>
      <w:rFonts w:ascii="Arial" w:cs="Arial" w:hAnsi="Arial" w:eastAsia="Arial"/>
      <w:b w:val="1"/>
      <w:bCs w:val="1"/>
    </w:rPr>
  </w:style>
  <w:style w:type="character" w:styleId="Hyperlink.4">
    <w:name w:val="Hyperlink.4"/>
    <w:basedOn w:val="None"/>
    <w:next w:val="Hyperlink.4"/>
    <w:rPr>
      <w:rFonts w:ascii="Arial" w:cs="Arial" w:hAnsi="Arial" w:eastAsia="Arial"/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5">
    <w:name w:val="Hyperlink.5"/>
    <w:basedOn w:val="Link"/>
    <w:next w:val="Hyperlink.5"/>
    <w:rPr>
      <w:rFonts w:ascii="Arial" w:cs="Arial" w:hAnsi="Arial" w:eastAsia="Arial"/>
      <w:i w:val="1"/>
      <w:iCs w:val="1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numbering" w:styleId="Imported Style 3">
    <w:name w:val="Imported Style 3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