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Наталья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174,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86-60-89,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опыт работы 10 лет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