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dtl-past-working-group-readings"/>
    <w:p>
      <w:pPr>
        <w:pStyle w:val="Heading2"/>
      </w:pPr>
      <w:r>
        <w:t xml:space="preserve">DTL Past Working Group Readings</w:t>
      </w:r>
    </w:p>
    <w:bookmarkStart w:id="18" w:name="X14eca6085545a732291780e32d423fa8eab075e"/>
    <w:p>
      <w:pPr>
        <w:pStyle w:val="Heading3"/>
      </w:pPr>
      <w:r>
        <w:t xml:space="preserve">Winter 2025: Interpretability and/as Computation</w:t>
      </w:r>
    </w:p>
    <w:p>
      <w:pPr>
        <w:pStyle w:val="Compact"/>
        <w:numPr>
          <w:ilvl w:val="0"/>
          <w:numId w:val="1001"/>
        </w:numPr>
      </w:pPr>
      <w:r>
        <w:t xml:space="preserve">DeepSeek, DeepSeek-V3 Technical Report; Jason Wei et al,</w:t>
      </w:r>
      <w:r>
        <w:t xml:space="preserve"> </w:t>
      </w:r>
      <w:r>
        <w:t xml:space="preserve">“Chain-of-Thought</w:t>
      </w:r>
      <w:r>
        <w:t xml:space="preserve"> </w:t>
      </w:r>
      <w:r>
        <w:t xml:space="preserve">Prompting Elicits Reasoning in Large Language Models”</w:t>
      </w:r>
    </w:p>
    <w:p>
      <w:pPr>
        <w:pStyle w:val="Compact"/>
        <w:numPr>
          <w:ilvl w:val="0"/>
          <w:numId w:val="1001"/>
        </w:numPr>
      </w:pPr>
      <w:r>
        <w:t xml:space="preserve">Stephen Wolfram,</w:t>
      </w:r>
      <w:r>
        <w:t xml:space="preserve"> </w:t>
      </w:r>
      <w:r>
        <w:t xml:space="preserve">“How to Think Computationally”</w:t>
      </w:r>
      <w:r>
        <w:t xml:space="preserve">; Charles Petzold,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i/>
          <w:iCs/>
        </w:rPr>
        <w:t xml:space="preserve">Annotated Turing</w:t>
      </w:r>
    </w:p>
    <w:p>
      <w:pPr>
        <w:pStyle w:val="Compact"/>
        <w:numPr>
          <w:ilvl w:val="0"/>
          <w:numId w:val="1001"/>
        </w:numPr>
      </w:pPr>
      <w:r>
        <w:t xml:space="preserve">Peter Gardenförs,</w:t>
      </w:r>
      <w:r>
        <w:t xml:space="preserve"> </w:t>
      </w:r>
      <w:r>
        <w:t xml:space="preserve">“Dimensions”</w:t>
      </w:r>
      <w:r>
        <w:t xml:space="preserve"> </w:t>
      </w:r>
      <w:r>
        <w:t xml:space="preserve">and</w:t>
      </w:r>
      <w:r>
        <w:t xml:space="preserve"> </w:t>
      </w:r>
      <w:r>
        <w:t xml:space="preserve">“Computational Aspects”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Conceptual</w:t>
      </w:r>
      <w:r>
        <w:rPr>
          <w:i/>
          <w:iCs/>
        </w:rPr>
        <w:t xml:space="preserve"> </w:t>
      </w:r>
      <w:r>
        <w:rPr>
          <w:i/>
          <w:iCs/>
        </w:rPr>
        <w:t xml:space="preserve">Spaces</w:t>
      </w:r>
      <w:r>
        <w:t xml:space="preserve">; Christopher Gauker,</w:t>
      </w:r>
      <w:r>
        <w:t xml:space="preserve"> </w:t>
      </w:r>
      <w:r>
        <w:t xml:space="preserve">“Regions of Similarity Space”</w:t>
      </w:r>
    </w:p>
    <w:p>
      <w:pPr>
        <w:pStyle w:val="Compact"/>
        <w:numPr>
          <w:ilvl w:val="0"/>
          <w:numId w:val="1001"/>
        </w:numPr>
      </w:pPr>
      <w:r>
        <w:t xml:space="preserve">Imogen Forbes-Macphail,</w:t>
      </w:r>
      <w:r>
        <w:t xml:space="preserve"> </w:t>
      </w:r>
      <w:r>
        <w:t xml:space="preserve">“The Four-Color Theorem and the Aesthetics of</w:t>
      </w:r>
      <w:r>
        <w:t xml:space="preserve"> </w:t>
      </w:r>
      <w:r>
        <w:t xml:space="preserve">Computational Proof”</w:t>
      </w:r>
    </w:p>
    <w:bookmarkEnd w:id="18"/>
    <w:bookmarkStart w:id="19" w:name="fall-2024-interpretability"/>
    <w:p>
      <w:pPr>
        <w:pStyle w:val="Heading3"/>
      </w:pPr>
      <w:r>
        <w:t xml:space="preserve">Fall 2024: Interpretability</w:t>
      </w:r>
    </w:p>
    <w:p>
      <w:pPr>
        <w:pStyle w:val="Compact"/>
        <w:numPr>
          <w:ilvl w:val="0"/>
          <w:numId w:val="1002"/>
        </w:numPr>
      </w:pPr>
      <w:r>
        <w:t xml:space="preserve">Anthropic,</w:t>
      </w:r>
      <w:r>
        <w:t xml:space="preserve"> </w:t>
      </w:r>
      <w:r>
        <w:t xml:space="preserve">“Scaling Monosemanticity: Extracting Interpretable Features from</w:t>
      </w:r>
      <w:r>
        <w:t xml:space="preserve"> </w:t>
      </w:r>
      <w:r>
        <w:t xml:space="preserve">Claude 3 Sonnet”</w:t>
      </w:r>
      <w:r>
        <w:t xml:space="preserve">; John Haugeland,</w:t>
      </w:r>
      <w:r>
        <w:t xml:space="preserve"> </w:t>
      </w:r>
      <w:r>
        <w:t xml:space="preserve">“Understanding Natural Language”</w:t>
      </w:r>
    </w:p>
    <w:p>
      <w:pPr>
        <w:pStyle w:val="Compact"/>
        <w:numPr>
          <w:ilvl w:val="0"/>
          <w:numId w:val="1002"/>
        </w:numPr>
      </w:pPr>
      <w:r>
        <w:t xml:space="preserve">Adrian Mackenzie,</w:t>
      </w:r>
      <w:r>
        <w:t xml:space="preserve"> </w:t>
      </w:r>
      <w:r>
        <w:t xml:space="preserve">“Vectorization and Its Consequences”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Machine Learners</w:t>
      </w:r>
      <w:r>
        <w:t xml:space="preserve">;</w:t>
      </w:r>
      <w:r>
        <w:t xml:space="preserve"> </w:t>
      </w:r>
      <w:r>
        <w:t xml:space="preserve">Bernhard Rieder,</w:t>
      </w:r>
      <w:r>
        <w:t xml:space="preserve"> </w:t>
      </w:r>
      <w:r>
        <w:t xml:space="preserve">“From Frequencies to Vectors”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Engines of Order</w:t>
      </w:r>
    </w:p>
    <w:p>
      <w:pPr>
        <w:pStyle w:val="Compact"/>
        <w:numPr>
          <w:ilvl w:val="0"/>
          <w:numId w:val="1002"/>
        </w:numPr>
      </w:pPr>
      <w:r>
        <w:t xml:space="preserve">Minyoung Huh et al,</w:t>
      </w:r>
      <w:r>
        <w:t xml:space="preserve"> </w:t>
      </w:r>
      <w:r>
        <w:t xml:space="preserve">“The Platonic Representation Hypothesis”</w:t>
      </w:r>
      <w:r>
        <w:t xml:space="preserve">; Jiaang Li et</w:t>
      </w:r>
      <w:r>
        <w:t xml:space="preserve"> </w:t>
      </w:r>
      <w:r>
        <w:t xml:space="preserve">al,</w:t>
      </w:r>
      <w:r>
        <w:t xml:space="preserve"> </w:t>
      </w:r>
      <w:r>
        <w:t xml:space="preserve">“Do Vision and Language Models Share Concepts?”</w:t>
      </w:r>
      <w:r>
        <w:t xml:space="preserve">; Jack Merullo et al,</w:t>
      </w:r>
      <w:r>
        <w:t xml:space="preserve"> </w:t>
      </w:r>
      <w:r>
        <w:t xml:space="preserve">“Linearly Mapping from Image to Text Space”</w:t>
      </w:r>
      <w:r>
        <w:t xml:space="preserve">; Albert Jiang et al,</w:t>
      </w:r>
      <w:r>
        <w:t xml:space="preserve"> </w:t>
      </w:r>
      <w:r>
        <w:t xml:space="preserve">“Mixtral of</w:t>
      </w:r>
      <w:r>
        <w:t xml:space="preserve"> </w:t>
      </w:r>
      <w:r>
        <w:t xml:space="preserve">Experts”</w:t>
      </w:r>
    </w:p>
    <w:p>
      <w:pPr>
        <w:pStyle w:val="Compact"/>
        <w:numPr>
          <w:ilvl w:val="0"/>
          <w:numId w:val="1002"/>
        </w:numPr>
      </w:pPr>
      <w:r>
        <w:t xml:space="preserve">Franco Moretti,</w:t>
      </w:r>
      <w:r>
        <w:t xml:space="preserve"> </w:t>
      </w:r>
      <w:r>
        <w:t xml:space="preserve">“Operationalization”</w:t>
      </w:r>
    </w:p>
    <w:bookmarkEnd w:id="19"/>
    <w:bookmarkStart w:id="20" w:name="spring-2024-form"/>
    <w:p>
      <w:pPr>
        <w:pStyle w:val="Heading3"/>
      </w:pPr>
      <w:r>
        <w:t xml:space="preserve">Spring 2024: Form</w:t>
      </w:r>
    </w:p>
    <w:p>
      <w:pPr>
        <w:pStyle w:val="Compact"/>
        <w:numPr>
          <w:ilvl w:val="0"/>
          <w:numId w:val="1003"/>
        </w:numPr>
      </w:pPr>
      <w:r>
        <w:t xml:space="preserve">John Haugeland,</w:t>
      </w:r>
      <w:r>
        <w:t xml:space="preserve"> </w:t>
      </w:r>
      <w:r>
        <w:t xml:space="preserve">“Good Old-Fashioned AI”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Artificial Intelligence: The Very</w:t>
      </w:r>
      <w:r>
        <w:rPr>
          <w:i/>
          <w:iCs/>
        </w:rPr>
        <w:t xml:space="preserve"> </w:t>
      </w:r>
      <w:r>
        <w:rPr>
          <w:i/>
          <w:iCs/>
        </w:rPr>
        <w:t xml:space="preserve">Idea</w:t>
      </w:r>
    </w:p>
    <w:p>
      <w:pPr>
        <w:pStyle w:val="Compact"/>
        <w:numPr>
          <w:ilvl w:val="0"/>
          <w:numId w:val="1003"/>
        </w:numPr>
      </w:pPr>
      <w:r>
        <w:t xml:space="preserve">Jonathan Kramnick and Anahid Nersessian,</w:t>
      </w:r>
      <w:r>
        <w:t xml:space="preserve"> </w:t>
      </w:r>
      <w:r>
        <w:t xml:space="preserve">“Form and Explanation”</w:t>
      </w:r>
      <w:r>
        <w:t xml:space="preserve">; Matthew</w:t>
      </w:r>
      <w:r>
        <w:t xml:space="preserve"> </w:t>
      </w:r>
      <w:r>
        <w:t xml:space="preserve">Kirschenbaum,</w:t>
      </w:r>
      <w:r>
        <w:t xml:space="preserve"> </w:t>
      </w:r>
      <w:r>
        <w:t xml:space="preserve">“Spec Acts: Reading Form in Recurrent Neural Networks”</w:t>
      </w:r>
      <w:r>
        <w:t xml:space="preserve"> </w:t>
      </w:r>
      <w:r>
        <w:t xml:space="preserve">Ernest</w:t>
      </w:r>
    </w:p>
    <w:p>
      <w:pPr>
        <w:pStyle w:val="Compact"/>
        <w:numPr>
          <w:ilvl w:val="0"/>
          <w:numId w:val="1003"/>
        </w:numPr>
      </w:pPr>
      <w:r>
        <w:t xml:space="preserve">Nagel and James Newman,</w:t>
      </w:r>
      <w:r>
        <w:t xml:space="preserve"> </w:t>
      </w:r>
      <w:r>
        <w:rPr>
          <w:i/>
          <w:iCs/>
        </w:rPr>
        <w:t xml:space="preserve">Gödel’s Proof</w:t>
      </w:r>
    </w:p>
    <w:p>
      <w:pPr>
        <w:pStyle w:val="Compact"/>
        <w:numPr>
          <w:ilvl w:val="0"/>
          <w:numId w:val="1003"/>
        </w:numPr>
      </w:pPr>
      <w:r>
        <w:t xml:space="preserve">Jacques Derrida,</w:t>
      </w:r>
      <w:r>
        <w:t xml:space="preserve"> </w:t>
      </w:r>
      <w:r>
        <w:t xml:space="preserve">“Law of Genre”</w:t>
      </w:r>
      <w:r>
        <w:t xml:space="preserve">; Ralph Cohen,</w:t>
      </w:r>
      <w:r>
        <w:t xml:space="preserve"> </w:t>
      </w:r>
      <w:r>
        <w:t xml:space="preserve">“History and Genre”</w:t>
      </w:r>
    </w:p>
    <w:p>
      <w:pPr>
        <w:pStyle w:val="Compact"/>
        <w:numPr>
          <w:ilvl w:val="0"/>
          <w:numId w:val="1003"/>
        </w:numPr>
      </w:pPr>
      <w:r>
        <w:t xml:space="preserve">Erwin Panofsky,</w:t>
      </w:r>
      <w:r>
        <w:t xml:space="preserve"> </w:t>
      </w:r>
      <w:r>
        <w:rPr>
          <w:i/>
          <w:iCs/>
        </w:rPr>
        <w:t xml:space="preserve">Perspective as Symbolic Form</w:t>
      </w:r>
    </w:p>
    <w:p>
      <w:pPr>
        <w:pStyle w:val="Compact"/>
        <w:numPr>
          <w:ilvl w:val="0"/>
          <w:numId w:val="1003"/>
        </w:numPr>
      </w:pPr>
      <w:r>
        <w:t xml:space="preserve">Terry Winograd,</w:t>
      </w:r>
      <w:r>
        <w:t xml:space="preserve"> </w:t>
      </w:r>
      <w:r>
        <w:t xml:space="preserve">“Computation, Thought, and Language”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Understanding</w:t>
      </w:r>
      <w:r>
        <w:rPr>
          <w:i/>
          <w:iCs/>
        </w:rPr>
        <w:t xml:space="preserve"> </w:t>
      </w:r>
      <w:r>
        <w:rPr>
          <w:i/>
          <w:iCs/>
        </w:rPr>
        <w:t xml:space="preserve">Computers and Cognition</w:t>
      </w:r>
    </w:p>
    <w:p>
      <w:pPr>
        <w:pStyle w:val="Compact"/>
        <w:numPr>
          <w:ilvl w:val="0"/>
          <w:numId w:val="1003"/>
        </w:numPr>
      </w:pPr>
      <w:r>
        <w:t xml:space="preserve">Leo Breiman,</w:t>
      </w:r>
      <w:r>
        <w:t xml:space="preserve"> </w:t>
      </w:r>
      <w:r>
        <w:t xml:space="preserve">“Statistical Modeling: The Two Cultures”</w:t>
      </w:r>
    </w:p>
    <w:bookmarkEnd w:id="20"/>
    <w:bookmarkEnd w:id="21"/>
    <w:sectPr w:rsidR="003E2E19">
      <w:head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11219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682414" w14:textId="3035C8D7" w:rsidR="00CE752F" w:rsidRDefault="00CE752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449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E23ED1D" w14:textId="77777777" w:rsidR="00CE752F" w:rsidRDefault="00CE752F">
    <w:pPr>
      <w:pStyle w:val="Header"/>
    </w:pPr>
  </w:p>
</w:hdr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F3F47F5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8103A0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8842C08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EC2FA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CBA5B0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FF4FA3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7B3E6D7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16E66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8C6DEF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C9A57A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85CEA4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49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DDD149"/>
    <w:rsid w:val="003E2E19"/>
    <w:rsid w:val="00724491"/>
    <w:rsid w:val="008A42CA"/>
    <w:rsid w:val="009B070D"/>
    <w:rsid w:val="00C95E45"/>
    <w:rsid w:val="00CE752F"/>
    <w:rsid w:val="28DDD149"/>
    <w:rsid w:val="3F8D7192"/>
    <w:rsid w:val="4E62EEEF"/>
    <w:rsid w:val="5222BA3E"/>
    <w:rsid w:val="523981A4"/>
    <w:rsid w:val="6F6F60BF"/>
    <w:rsid w:val="7815CE2A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8A42CA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8A42CA"/>
    <w:pPr>
      <w:keepNext/>
      <w:keepLines/>
      <w:spacing w:after="0" w:before="480"/>
      <w:outlineLvl w:val="0"/>
    </w:pPr>
    <w:rPr>
      <w:rFonts w:cstheme="majorBidi" w:eastAsiaTheme="majorEastAsia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8A42CA"/>
    <w:pPr>
      <w:keepNext/>
      <w:keepLines/>
      <w:spacing w:after="0" w:before="200"/>
      <w:outlineLvl w:val="1"/>
    </w:pPr>
    <w:rPr>
      <w:rFonts w:cstheme="majorBidi" w:eastAsiaTheme="majorEastAsia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8A42CA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8A42CA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8A42CA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8A42CA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8A42CA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8A42CA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8A42CA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A42CA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8A42CA"/>
    <w:pPr>
      <w:keepNext/>
      <w:keepLines/>
      <w:spacing w:after="240" w:before="480"/>
      <w:jc w:val="center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8A42CA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8A42CA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8A42CA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rsid w:val="008A42CA"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8A42CA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qFormat/>
    <w:rsid w:val="00CE752F"/>
    <w:rPr>
      <w:rFonts w:ascii="Courier New" w:hAnsi="Courier New"/>
      <w:sz w:val="20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8A42CA"/>
    <w:pPr>
      <w:spacing w:before="240" w:line="259" w:lineRule="auto"/>
      <w:outlineLvl w:val="9"/>
    </w:pPr>
    <w:rPr>
      <w:b w:val="0"/>
      <w:bCs w:val="0"/>
    </w:rPr>
  </w:style>
  <w:style w:styleId="Header" w:type="paragraph">
    <w:name w:val="header"/>
    <w:basedOn w:val="Normal"/>
    <w:link w:val="HeaderChar"/>
    <w:unhideWhenUsed/>
    <w:rsid w:val="00CE752F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CE752F"/>
    <w:rPr>
      <w:rFonts w:ascii="Times New Roman" w:hAnsi="Times New Roman"/>
    </w:rPr>
  </w:style>
  <w:style w:styleId="Footer" w:type="paragraph">
    <w:name w:val="footer"/>
    <w:basedOn w:val="Normal"/>
    <w:link w:val="FooterChar"/>
    <w:unhideWhenUsed/>
    <w:rsid w:val="00CE752F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CE752F"/>
    <w:rPr>
      <w:rFonts w:ascii="Times New Roman" w:hAnsi="Times New Roman"/>
    </w:rPr>
  </w:style>
  <w:style w:customStyle="1" w:styleId="BodyTextChar" w:type="character">
    <w:name w:val="Body Text Char"/>
    <w:basedOn w:val="DefaultParagraphFont"/>
    <w:link w:val="BodyText"/>
    <w:rsid w:val="00CE752F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7" Target="numbering.xml" /><Relationship Type="http://schemas.openxmlformats.org/officeDocument/2006/relationships/styles" Id="rId16" Target="styles.xml" /><Relationship Type="http://schemas.openxmlformats.org/officeDocument/2006/relationships/settings" Id="rId15" Target="settings.xml" /><Relationship Type="http://schemas.openxmlformats.org/officeDocument/2006/relationships/webSettings" Id="rId14" Target="webSettings.xml" /><Relationship Type="http://schemas.openxmlformats.org/officeDocument/2006/relationships/fontTable" Id="rId13" Target="fontTable.xml" /><Relationship Type="http://schemas.openxmlformats.org/officeDocument/2006/relationships/theme" Id="rId12" Target="theme/theme1.xml" /><Relationship Type="http://schemas.openxmlformats.org/officeDocument/2006/relationships/footnotes" Id="rId11" Target="footnotes.xml" /><Relationship Type="http://schemas.openxmlformats.org/officeDocument/2006/relationships/comments" Id="rId10" Target="comments.xml" /><Relationship Id="rId9" Target="header1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2025-09-23T16:22:22Z</dcterms:created>
  <dcterms:modified xsi:type="dcterms:W3CDTF">2025-09-23T16:22:22Z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