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00025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b/>
          <w:bCs/>
          <w:color w:val="0F2044"/>
          <w:spacing w:val="26"/>
          <w:sz w:val="15"/>
          <w:szCs w:val="15"/>
        </w:rPr>
        <w:t xml:space="preserve">  DIGITAL TOURISM THINK TANK</w:t>
      </w:r>
    </w:p>
    <w:p>
      <w:pPr>
        <w:spacing w:after="70"/>
      </w:pPr>
      <w:r>
        <w:rPr>
          <w:rFonts w:ascii="Courier New" w:cs="Courier New" w:eastAsia="Courier New" w:hAnsi="Courier New"/>
          <w:color w:val="00857C"/>
          <w:spacing w:val="26"/>
          <w:sz w:val="16"/>
          <w:szCs w:val="16"/>
        </w:rPr>
        <w:t xml:space="preserve">LEADERSHIP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AI discoverability: the case for acting now</w:t>
      </w:r>
    </w:p>
    <w:p>
      <w:pPr>
        <w:spacing w:after="130"/>
      </w:pPr>
      <w:r>
        <w:rPr>
          <w:rFonts w:ascii="Arial" w:cs="Arial" w:eastAsia="Arial" w:hAnsi="Arial"/>
          <w:color w:val="41506A"/>
          <w:sz w:val="22"/>
          <w:szCs w:val="22"/>
        </w:rPr>
        <w:t xml:space="preserve">A short board paper setting out what AI search means for the destination, the risk of waiting, and the resourcing decision in front of us.</w:t>
      </w:r>
    </w:p>
    <w:p>
      <w:pPr>
        <w:pBdr>
          <w:bottom w:val="single" w:color="00857C" w:sz="20" w:space="1"/>
        </w:pBdr>
        <w:spacing w:after="8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8A94A6"/>
          <w:spacing w:val="18"/>
          <w:sz w:val="15"/>
          <w:szCs w:val="15"/>
        </w:rPr>
        <w:t xml:space="preserve">PREPARED FOR [ORGANISATION] LEADERSHIP · WITH THE DIGITAL TOURISM THINK TANK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The ask. </w:t>
      </w:r>
      <w:r>
        <w:rPr>
          <w:rFonts w:ascii="Arial" w:cs="Arial" w:eastAsia="Arial" w:hAnsi="Arial"/>
          <w:color w:val="1B2536"/>
          <w:sz w:val="21"/>
          <w:szCs w:val="21"/>
        </w:rPr>
        <w:t xml:space="preserve">That the board agrees to treat AI discoverability as standing programme infrastructure, adopt a common standard across the destination, and resource the work set out in section four. The detail follows; the decision is the point.</w:t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01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The context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857C"/>
                <w:sz w:val="52"/>
                <w:szCs w:val="52"/>
              </w:rPr>
              <w:t xml:space="preserve">56%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B2536"/>
                <w:sz w:val="18"/>
                <w:szCs w:val="18"/>
              </w:rPr>
              <w:t xml:space="preserve">of travellers used AI for at least one trip in the past year, more than double 2024.</w:t>
            </w:r>
          </w:p>
          <w:p>
            <w:r>
              <w:rPr>
                <w:rFonts w:ascii="Courier New" w:cs="Courier New" w:eastAsia="Courier New" w:hAnsi="Courier New"/>
                <w:color w:val="8A94A6"/>
                <w:sz w:val="14"/>
                <w:szCs w:val="14"/>
              </w:rPr>
              <w:t xml:space="preserve">Phocuswright, 2026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857C"/>
                <w:sz w:val="52"/>
                <w:szCs w:val="52"/>
              </w:rPr>
              <w:t xml:space="preserve">78%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B2536"/>
                <w:sz w:val="18"/>
                <w:szCs w:val="18"/>
              </w:rPr>
              <w:t xml:space="preserve">of AI users booked based mainly on an AI recommendation.</w:t>
            </w:r>
          </w:p>
          <w:p>
            <w:r>
              <w:rPr>
                <w:rFonts w:ascii="Courier New" w:cs="Courier New" w:eastAsia="Courier New" w:hAnsi="Courier New"/>
                <w:color w:val="8A94A6"/>
                <w:sz w:val="14"/>
                <w:szCs w:val="14"/>
              </w:rPr>
              <w:t xml:space="preserve">TakeUp, 2026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857C"/>
                <w:sz w:val="52"/>
                <w:szCs w:val="52"/>
              </w:rPr>
              <w:t xml:space="preserve">fastest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B2536"/>
                <w:sz w:val="18"/>
                <w:szCs w:val="18"/>
              </w:rPr>
              <w:t xml:space="preserve">behavioural shift the travel industry has seen in a decade.</w:t>
            </w:r>
          </w:p>
          <w:p>
            <w:r>
              <w:rPr>
                <w:rFonts w:ascii="Courier New" w:cs="Courier New" w:eastAsia="Courier New" w:hAnsi="Courier New"/>
                <w:color w:val="8A94A6"/>
                <w:sz w:val="14"/>
                <w:szCs w:val="14"/>
              </w:rPr>
              <w:t xml:space="preserve">Phocuswright, 2026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Visitors increasingly ask an AI assistant where to go and what to do, and act on the answer. The assistant composes a single response and names a handful of places. This is the fastest shift in traveller behaviour the industry has tracked in a decade, and it changes where the decision is made: in the answer, before the visitor reaches our channels or our partners’ sites.</w:t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02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What is at stake for us</w:t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Two risks, one opportunity. The first risk is absence: if the destination and its businesses are not understood and trusted by these systems, we simply do not appear at the decisive moment. The second is concentration: assistants lean on the same well known names, which can crowd out the wider destination and deepen pressure on a few sites. The opportunity is the mirror of both. Done well, this is how lesser known but excellent businesses earn a place in the answer, spreading visibility and demand across the destination.</w:t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03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The proposal</w:t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A phased programme, owned centrally, that brings the destination and its industry up to a defined standard and keeps them there.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6EF" w:sz="4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F204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360"/>
            <w:shd w:fill="0F204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360"/>
            <w:shd w:fill="0F204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A common standard, the priority questions, the core fixes on our own estate.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A baseline and a shared bar for the destination.</w:t>
            </w:r>
          </w:p>
        </w:tc>
      </w:tr>
      <w:tr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Build</w:t>
            </w:r>
          </w:p>
        </w:tc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Schema, content and entity work, and supporting industry to the standard.</w:t>
            </w:r>
          </w:p>
        </w:tc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More of the destination understood and recommendable.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Measure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Tracking how we appear, and acting on the gaps each quarter.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A maintained capability, not a one-off push.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The programme is supported by three things already in hand: a standard for industry to build to, a procurement discipline for agencies and suppliers, and a set of member tools for implementation and measurement.</w:t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04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What we are asking for</w:t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Modest, and framed as infrastructure rather than a campaign.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A named owner accountable for AI discoverability across teams.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A defined share of content, web and insight time, rather than new headcount in the first instance.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A small budget for tooling and for supporting industry adoption.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Agreement to the standard and the procurement discipline, so spend is protected.</w:t>
      </w:r>
    </w:p>
    <w:tbl>
      <w:tblPr>
        <w:tblW w:type="dxa" w:w="10080"/>
        <w:tblBorders>
          <w:top w:val="none" w:color="FFFFFF" w:sz="0"/>
          <w:left w:val="single" w:color="006B63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6F3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06B63"/>
                <w:spacing w:val="12"/>
                <w:sz w:val="17"/>
                <w:szCs w:val="17"/>
              </w:rPr>
              <w:t xml:space="preserve">DTTT POSITION</w:t>
            </w:r>
          </w:p>
          <w:p>
            <w:r>
              <w:rPr>
                <w:rFonts w:ascii="Arial" w:cs="Arial" w:eastAsia="Arial" w:hAnsi="Arial"/>
                <w:color w:val="1B2536"/>
                <w:sz w:val="20"/>
                <w:szCs w:val="20"/>
              </w:rPr>
              <w:t xml:space="preserve">Fund this as infrastructure. The cost of absence compounds quietly: every quarter we are not understood by these systems is share of attention conceded, and it does not come back on its own. The spend to hold a place in the answer is small against the visibility at stake.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05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Risks of not acting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Gradual, unmeasured loss of visibility as more visitors decide inside the answer.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A destination represented by a few names, with the long tail invisible.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Industry left to face the shift alone, unevenly and often badly.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A harder, costlier catch up later, once the gap is visible in the numbers.</w:t>
      </w:r>
    </w:p>
    <w:p>
      <w:pPr>
        <w:pBdr>
          <w:top w:val="single" w:color="E2E6EF" w:sz="4" w:space="8"/>
        </w:pBdr>
        <w:spacing w:before="240"/>
      </w:pPr>
      <w:r>
        <w:rPr>
          <w:rFonts w:ascii="Arial" w:cs="Arial" w:eastAsia="Arial" w:hAnsi="Arial"/>
          <w:color w:val="8A94A6"/>
          <w:sz w:val="16"/>
          <w:szCs w:val="16"/>
        </w:rPr>
        <w:t xml:space="preserve">Prepared with the Digital Tourism Think Tank as part of the [organisation] AI Discoverability programme. This is strategic guidance, not financial advice. Adapt the bracketed fields and the resourcing ask to your own context before tabling.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6EF" w:sz="4" w:space="6"/>
      </w:pBdr>
      <w:tabs>
        <w:tab w:val="right" w:pos="10080"/>
      </w:tabs>
    </w:pPr>
    <w:r>
      <w:rPr>
        <w:rFonts w:ascii="Courier New" w:cs="Courier New" w:eastAsia="Courier New" w:hAnsi="Courier New"/>
        <w:color w:val="8A94A6"/>
        <w:sz w:val="14"/>
        <w:szCs w:val="14"/>
      </w:rPr>
      <w:t xml:space="preserve">Digital Tourism Think Tank  ·  AI Discoverability  ·  Leadership board paper</w:t>
    </w:r>
    <w:r>
      <w:tab/>
    </w:r>
    <w:r>
      <w:rPr>
        <w:rFonts w:ascii="Courier New" w:cs="Courier New" w:eastAsia="Courier New" w:hAnsi="Courier New"/>
        <w:color w:val="8A94A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  <w:rPr>
        <w:rFonts w:ascii="Arial" w:cs="Arial" w:eastAsia="Arial" w:hAnsi="Arial"/>
        <w:color w:val="00857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  <w:rPr>
        <w:color w:val="006B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17e72ca87e1450839efd815055b0a99258605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2026-06-29T23:47:20.474Z</dcterms:created>
  <dcterms:modified xsi:type="dcterms:W3CDTF">2026-06-29T23:47:20.474Z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