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00025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cs="Courier New" w:eastAsia="Courier New" w:hAnsi="Courier New"/>
          <w:b/>
          <w:bCs/>
          <w:color w:val="0F2044"/>
          <w:spacing w:val="26"/>
          <w:sz w:val="15"/>
          <w:szCs w:val="15"/>
        </w:rPr>
        <w:t xml:space="preserve">  DIGITAL TOURISM THINK TANK</w:t>
      </w:r>
    </w:p>
    <w:p>
      <w:pPr>
        <w:spacing w:after="70"/>
      </w:pPr>
      <w:r>
        <w:rPr>
          <w:rFonts w:ascii="Courier New" w:cs="Courier New" w:eastAsia="Courier New" w:hAnsi="Courier New"/>
          <w:color w:val="00857C"/>
          <w:spacing w:val="26"/>
          <w:sz w:val="16"/>
          <w:szCs w:val="16"/>
        </w:rPr>
        <w:t xml:space="preserve">AGENCIES AND SUPPLIERS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F2044"/>
          <w:sz w:val="40"/>
          <w:szCs w:val="40"/>
        </w:rPr>
        <w:t xml:space="preserve">GEO in your RFP: evaluation and procurement</w:t>
      </w:r>
    </w:p>
    <w:p>
      <w:pPr>
        <w:spacing w:after="130"/>
      </w:pPr>
      <w:r>
        <w:rPr>
          <w:rFonts w:ascii="Arial" w:cs="Arial" w:eastAsia="Arial" w:hAnsi="Arial"/>
          <w:color w:val="41506A"/>
          <w:sz w:val="22"/>
          <w:szCs w:val="22"/>
        </w:rPr>
        <w:t xml:space="preserve">When AI visibility is part of a tender, this pack gives you the evaluation criteria to score bidders, the questions that separate real capability from buzzwords, and the contract clauses on data ownership and exit that protect you.</w:t>
      </w:r>
    </w:p>
    <w:p>
      <w:pPr>
        <w:pBdr>
          <w:bottom w:val="single" w:color="00857C" w:sz="20" w:space="1"/>
        </w:pBdr>
        <w:spacing w:after="8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8A94A6"/>
          <w:spacing w:val="18"/>
          <w:sz w:val="15"/>
          <w:szCs w:val="15"/>
        </w:rPr>
        <w:t xml:space="preserve">PREPARED FOR [DESTINATION] · WITH THE DIGITAL TOURISM THINK TANK</w:t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Most GEO procurement goes wrong in the contract, not the brief. </w:t>
      </w:r>
      <w:r>
        <w:rPr>
          <w:rFonts w:ascii="Arial" w:cs="Arial" w:eastAsia="Arial" w:hAnsi="Arial"/>
          <w:color w:val="1B2536"/>
          <w:sz w:val="21"/>
          <w:szCs w:val="21"/>
        </w:rPr>
        <w:t xml:space="preserve">Capability is easy to claim and hard to verify, and the clauses that protect you, data ownership and a clean exit, are the ones most tenders forget to ask for. This pack covers all three: the requirement, the scoring, and the protection.</w:t>
      </w:r>
    </w:p>
    <w:p>
      <w:pPr>
        <w:pBdr>
          <w:bottom w:val="single" w:color="0F2044" w:sz="16" w:space="4"/>
        </w:pBdr>
        <w:spacing w:after="140" w:before="300"/>
      </w:pPr>
      <w:r>
        <w:rPr>
          <w:rFonts w:ascii="Courier New" w:cs="Courier New" w:eastAsia="Courier New" w:hAnsi="Courier New"/>
          <w:color w:val="0F2044"/>
          <w:sz w:val="24"/>
          <w:szCs w:val="24"/>
        </w:rPr>
        <w:t xml:space="preserve">01   </w:t>
      </w: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Framing the requirement</w:t>
      </w:r>
    </w:p>
    <w:p>
      <w:pPr>
        <w:spacing w:after="150"/>
      </w:pPr>
      <w:r>
        <w:rPr>
          <w:rFonts w:ascii="Arial" w:cs="Arial" w:eastAsia="Arial" w:hAnsi="Arial"/>
          <w:color w:val="1B2536"/>
          <w:sz w:val="21"/>
          <w:szCs w:val="21"/>
        </w:rPr>
        <w:t xml:space="preserve">State the outcome, not the tactic. A workable requirement statement: we are seeking a supplier to improve how [organisation] is found, understood and recommended by AI assistants and AI search, by bringing our priority content and digital presence up to a defined GEO standard, with the work documented so we can maintain it ourselves. Attach the GEO brief as the standard bidders must meet.</w:t>
      </w:r>
    </w:p>
    <w:p>
      <w:pPr>
        <w:pBdr>
          <w:bottom w:val="single" w:color="0F2044" w:sz="16" w:space="4"/>
        </w:pBdr>
        <w:spacing w:after="140" w:before="300"/>
      </w:pPr>
      <w:r>
        <w:rPr>
          <w:rFonts w:ascii="Courier New" w:cs="Courier New" w:eastAsia="Courier New" w:hAnsi="Courier New"/>
          <w:color w:val="0F2044"/>
          <w:sz w:val="24"/>
          <w:szCs w:val="24"/>
        </w:rPr>
        <w:t xml:space="preserve">02   </w:t>
      </w: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Evaluation criteria</w:t>
      </w:r>
    </w:p>
    <w:p>
      <w:pPr>
        <w:spacing w:after="150"/>
      </w:pPr>
      <w:r>
        <w:rPr>
          <w:rFonts w:ascii="Arial" w:cs="Arial" w:eastAsia="Arial" w:hAnsi="Arial"/>
          <w:color w:val="1B2536"/>
          <w:sz w:val="21"/>
          <w:szCs w:val="21"/>
        </w:rPr>
        <w:t xml:space="preserve">Score each bidder against these criteria. The weights are a starting point; adjust them to your priorities, but keep data ownership and transparency weighted heavily.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6EF" w:sz="4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0F204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360"/>
            <w:shd w:fill="0F204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look for</w:t>
            </w:r>
          </w:p>
        </w:tc>
        <w:tc>
          <w:tcPr>
            <w:tcW w:type="dxa" w:w="3360"/>
            <w:shd w:fill="0F204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Demonstrated GEO capability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Real examples and results, not restated buzzwords.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Content approach</w:t>
            </w:r>
          </w:p>
        </w:tc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A clear method for answer-first rewrites that keeps your voice.</w:t>
            </w:r>
          </w:p>
        </w:tc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Technical and schema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Schema matched to visible content and validated, crawler access handled.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Entity and authority</w:t>
            </w:r>
          </w:p>
        </w:tc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A plan for consistency across your site and third party platforms.</w:t>
            </w:r>
          </w:p>
        </w:tc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Measurement and handover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A tracker and documentation you can run after the engagement ends.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Data ownership and transparency</w:t>
            </w:r>
          </w:p>
        </w:tc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You own the content and structured data, with a clean exit.</w:t>
            </w:r>
          </w:p>
        </w:tc>
        <w:tc>
          <w:tcPr>
            <w:tcW w:type="dxa" w:w="3360"/>
            <w:shd w:fill="F7F8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20%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0F2044" w:sz="16" w:space="4"/>
        </w:pBdr>
        <w:spacing w:after="140" w:before="300"/>
      </w:pPr>
      <w:r>
        <w:rPr>
          <w:rFonts w:ascii="Courier New" w:cs="Courier New" w:eastAsia="Courier New" w:hAnsi="Courier New"/>
          <w:color w:val="0F2044"/>
          <w:sz w:val="24"/>
          <w:szCs w:val="24"/>
        </w:rPr>
        <w:t xml:space="preserve">03   </w:t>
      </w: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Questions for bidders</w:t>
      </w:r>
    </w:p>
    <w:p>
      <w:pPr>
        <w:spacing w:after="150"/>
      </w:pPr>
      <w:r>
        <w:rPr>
          <w:rFonts w:ascii="Arial" w:cs="Arial" w:eastAsia="Arial" w:hAnsi="Arial"/>
          <w:color w:val="1B2536"/>
          <w:sz w:val="21"/>
          <w:szCs w:val="21"/>
        </w:rPr>
        <w:t xml:space="preserve">Put these in the RFP and score the answers. They are the vapour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Show two examples where you improved a client’s presence in AI answers, and how you measured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How do you prioritise pages, and what is your acceptance test for a rewrite.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How do you validate schema, and how do you keep it matched to visible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What exactly do we own at the end, and what happens to our data if we leave.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Which tactics do you refuse to use, and why.</w:t>
      </w:r>
    </w:p>
    <w:p>
      <w:pPr>
        <w:pBdr>
          <w:bottom w:val="single" w:color="0F2044" w:sz="16" w:space="4"/>
        </w:pBdr>
        <w:spacing w:after="140" w:before="300"/>
      </w:pPr>
      <w:r>
        <w:rPr>
          <w:rFonts w:ascii="Courier New" w:cs="Courier New" w:eastAsia="Courier New" w:hAnsi="Courier New"/>
          <w:color w:val="0F2044"/>
          <w:sz w:val="24"/>
          <w:szCs w:val="24"/>
        </w:rPr>
        <w:t xml:space="preserve">04   </w:t>
      </w: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Contract clauses that protect you</w:t>
      </w:r>
    </w:p>
    <w:p>
      <w:pPr>
        <w:spacing w:after="150"/>
      </w:pPr>
      <w:r>
        <w:rPr>
          <w:rFonts w:ascii="Arial" w:cs="Arial" w:eastAsia="Arial" w:hAnsi="Arial"/>
          <w:color w:val="1B2536"/>
          <w:sz w:val="21"/>
          <w:szCs w:val="21"/>
        </w:rPr>
        <w:t xml:space="preserve">Build these into the contract. Each protects against a specific, common failure.</w:t>
      </w:r>
    </w:p>
    <w:tbl>
      <w:tblPr>
        <w:tblW w:type="dxa" w:w="10080"/>
        <w:tblBorders>
          <w:top w:val="single" w:color="E2E6EF" w:sz="4"/>
          <w:left w:val="single" w:color="E2E6EF" w:sz="4"/>
          <w:bottom w:val="single" w:color="E2E6EF" w:sz="4"/>
          <w:right w:val="single" w:color="E2E6EF" w:sz="4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6B63"/>
                <w:spacing w:val="10"/>
                <w:sz w:val="15"/>
                <w:szCs w:val="15"/>
              </w:rPr>
              <w:t xml:space="preserve">01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Data and content ownership</w:t>
            </w:r>
          </w:p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You own all content, structured data and outputs created in the engagement, with full rights to use and amend them. The supplier retains no lock on your material.</w:t>
            </w:r>
          </w:p>
        </w:tc>
      </w:tr>
    </w:tbl>
    <w:p>
      <w:pPr>
        <w:spacing w:after="9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E2E6EF" w:sz="4"/>
          <w:left w:val="single" w:color="E2E6EF" w:sz="4"/>
          <w:bottom w:val="single" w:color="E2E6EF" w:sz="4"/>
          <w:right w:val="single" w:color="E2E6EF" w:sz="4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6B63"/>
                <w:spacing w:val="10"/>
                <w:sz w:val="15"/>
                <w:szCs w:val="15"/>
              </w:rPr>
              <w:t xml:space="preserve">02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Exit and portability</w:t>
            </w:r>
          </w:p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On termination, the supplier provides a complete export of your content, schema and data in a usable format, within a defined period, and deletes nothing you have not exported.</w:t>
            </w:r>
          </w:p>
        </w:tc>
      </w:tr>
    </w:tbl>
    <w:p>
      <w:pPr>
        <w:spacing w:after="9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E2E6EF" w:sz="4"/>
          <w:left w:val="single" w:color="E2E6EF" w:sz="4"/>
          <w:bottom w:val="single" w:color="E2E6EF" w:sz="4"/>
          <w:right w:val="single" w:color="E2E6EF" w:sz="4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6B63"/>
                <w:spacing w:val="10"/>
                <w:sz w:val="15"/>
                <w:szCs w:val="15"/>
              </w:rPr>
              <w:t xml:space="preserve">03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Maintenance and documentation</w:t>
            </w:r>
          </w:p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The supplier documents the work and hands over what you need to maintain it, so you are not dependent on them to make routine changes.</w:t>
            </w:r>
          </w:p>
        </w:tc>
      </w:tr>
    </w:tbl>
    <w:p>
      <w:pPr>
        <w:spacing w:after="9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E2E6EF" w:sz="4"/>
          <w:left w:val="single" w:color="E2E6EF" w:sz="4"/>
          <w:bottom w:val="single" w:color="E2E6EF" w:sz="4"/>
          <w:right w:val="single" w:color="E2E6EF" w:sz="4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6B63"/>
                <w:spacing w:val="10"/>
                <w:sz w:val="15"/>
                <w:szCs w:val="15"/>
              </w:rPr>
              <w:t xml:space="preserve">04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2044"/>
                <w:sz w:val="21"/>
                <w:szCs w:val="21"/>
              </w:rPr>
              <w:t xml:space="preserve">No manipulation</w:t>
            </w:r>
          </w:p>
          <w:p>
            <w:r>
              <w:rPr>
                <w:rFonts w:ascii="Arial" w:cs="Arial" w:eastAsia="Arial" w:hAnsi="Arial"/>
                <w:color w:val="1B2536"/>
                <w:sz w:val="19"/>
                <w:szCs w:val="19"/>
              </w:rPr>
              <w:t xml:space="preserve">The supplier warrants it will not use hidden text, cloaking, fabricated reviews or any technique against platform guidelines, and is liable for penalties arising from such techniques.</w:t>
            </w:r>
          </w:p>
        </w:tc>
      </w:tr>
    </w:tbl>
    <w:p>
      <w:pPr>
        <w:spacing w:after="9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single" w:color="006B63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6F3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06B63"/>
                <w:spacing w:val="12"/>
                <w:sz w:val="17"/>
                <w:szCs w:val="17"/>
              </w:rPr>
              <w:t xml:space="preserve">THE TWO THAT MATTER MOST</w:t>
            </w:r>
          </w:p>
          <w:p>
            <w:r>
              <w:rPr>
                <w:rFonts w:ascii="Arial" w:cs="Arial" w:eastAsia="Arial" w:hAnsi="Arial"/>
                <w:color w:val="1B2536"/>
                <w:sz w:val="20"/>
                <w:szCs w:val="20"/>
              </w:rPr>
              <w:t xml:space="preserve">Data ownership and exit conditions sink more tool and agency decisions than any capability gap. A supplier you cannot leave, or whose work you do not own, is a liability however well they score elsewhere. Weight and contract for these first.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0F2044" w:sz="16" w:space="4"/>
        </w:pBdr>
        <w:spacing w:after="140" w:before="300"/>
      </w:pPr>
      <w:r>
        <w:rPr>
          <w:rFonts w:ascii="Courier New" w:cs="Courier New" w:eastAsia="Courier New" w:hAnsi="Courier New"/>
          <w:color w:val="0F2044"/>
          <w:sz w:val="24"/>
          <w:szCs w:val="24"/>
        </w:rPr>
        <w:t xml:space="preserve">05   </w:t>
      </w: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Red flags in a bid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Capability described only in buzzwords, with no examples or results.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No clear acceptance criteria for the work.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Vague or absent answers on data ownership and exit.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Any tactic that relies on hiding things from visitors or from the platforms.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B2536"/>
          <w:sz w:val="20"/>
          <w:szCs w:val="20"/>
        </w:rPr>
        <w:t xml:space="preserve">No handover, so you stay dependent on the supplier indefinitely.</w:t>
      </w:r>
    </w:p>
    <w:p>
      <w:pPr>
        <w:pBdr>
          <w:top w:val="single" w:color="E2E6EF" w:sz="4" w:space="8"/>
        </w:pBdr>
        <w:spacing w:before="240"/>
      </w:pPr>
      <w:r>
        <w:rPr>
          <w:rFonts w:ascii="Arial" w:cs="Arial" w:eastAsia="Arial" w:hAnsi="Arial"/>
          <w:color w:val="8A94A6"/>
          <w:sz w:val="16"/>
          <w:szCs w:val="16"/>
        </w:rPr>
        <w:t xml:space="preserve">Prepared with the Digital Tourism Think Tank as part of the [destination] AI Discoverability programme. This is guidance, not legal advice. Have your own procurement and legal teams adapt the clauses before use.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6EF" w:sz="4" w:space="6"/>
      </w:pBdr>
      <w:tabs>
        <w:tab w:val="right" w:pos="10080"/>
      </w:tabs>
    </w:pPr>
    <w:r>
      <w:rPr>
        <w:rFonts w:ascii="Courier New" w:cs="Courier New" w:eastAsia="Courier New" w:hAnsi="Courier New"/>
        <w:color w:val="8A94A6"/>
        <w:sz w:val="14"/>
        <w:szCs w:val="14"/>
      </w:rPr>
      <w:t xml:space="preserve">Digital Tourism Think Tank  ·  AI Discoverability  ·  GEO RFP and procurement pack</w:t>
    </w:r>
    <w:r>
      <w:tab/>
    </w:r>
    <w:r>
      <w:rPr>
        <w:rFonts w:ascii="Courier New" w:cs="Courier New" w:eastAsia="Courier New" w:hAnsi="Courier New"/>
        <w:color w:val="8A94A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  <w:rPr>
        <w:rFonts w:ascii="Arial" w:cs="Arial" w:eastAsia="Arial" w:hAnsi="Arial"/>
        <w:color w:val="00857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  <w:rPr>
        <w:color w:val="006B6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17e72ca87e1450839efd815055b0a99258605e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2026-06-29T23:47:20.374Z</dcterms:created>
  <dcterms:modified xsi:type="dcterms:W3CDTF">2026-06-29T23:47:20.374Z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