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olor w:val="0D2340"/>
          <w:sz w:val="52"/>
          <w:szCs w:val="52"/>
        </w:rPr>
        <w:t xml:space="preserve">LEDSONE CENTRALIZER</w:t>
      </w:r>
    </w:p>
    <w:p>
      <w:pPr>
        <w:pBdr>
          <w:bottom w:val="single" w:color="0B7A75" w:sz="10" w:space="6"/>
        </w:pBdr>
        <w:spacing w:after="120" w:before="0"/>
        <w:jc w:val="center"/>
      </w:pPr>
      <w:r>
        <w:rPr>
          <w:rFonts w:ascii="Arial" w:cs="Arial" w:eastAsia="Arial" w:hAnsi="Arial"/>
          <w:b w:val="false"/>
          <w:bCs w:val="false"/>
          <w:color w:val="0B7A75"/>
          <w:sz w:val="32"/>
          <w:szCs w:val="32"/>
        </w:rPr>
        <w:t xml:space="preserve">Operations Hub</w:t>
      </w:r>
    </w:p>
    <w:p>
      <w:pPr>
        <w:spacing w:after="0" w:before="200"/>
      </w:pPr>
    </w:p>
    <w:p>
      <w:pPr>
        <w:spacing w:after="60" w:before="0"/>
        <w:jc w:val="center"/>
      </w:pPr>
      <w:r>
        <w:rPr>
          <w:rFonts w:ascii="Arial" w:cs="Arial" w:eastAsia="Arial" w:hAnsi="Arial"/>
          <w:b/>
          <w:bCs/>
          <w:color w:val="1A8F7F"/>
          <w:sz w:val="28"/>
          <w:szCs w:val="28"/>
        </w:rPr>
        <w:t xml:space="preserve">BLOS — Business Logic Operating System</w:t>
      </w:r>
    </w:p>
    <w:p>
      <w:pPr>
        <w:spacing w:after="40" w:before="0"/>
        <w:jc w:val="center"/>
      </w:pPr>
      <w:r>
        <w:rPr>
          <w:rFonts w:ascii="Arial" w:cs="Arial" w:eastAsia="Arial" w:hAnsi="Arial"/>
          <w:color w:val="4A5568"/>
          <w:sz w:val="26"/>
          <w:szCs w:val="26"/>
        </w:rPr>
        <w:t xml:space="preserve">Project Sentinel</w:t>
      </w:r>
    </w:p>
    <w:p>
      <w:pPr>
        <w:spacing w:after="0" w:before="300"/>
      </w:pPr>
    </w:p>
    <w:p>
      <w:pPr>
        <w:spacing w:after="40" w:before="0"/>
        <w:jc w:val="center"/>
      </w:pPr>
      <w:r>
        <w:rPr>
          <w:rFonts w:ascii="Arial" w:cs="Arial" w:eastAsia="Arial" w:hAnsi="Arial"/>
          <w:color w:val="4A5568"/>
          <w:sz w:val="24"/>
          <w:szCs w:val="24"/>
        </w:rPr>
        <w:t xml:space="preserve">Enterprise Software Engineering Documentation</w:t>
      </w:r>
    </w:p>
    <w:p>
      <w:pPr>
        <w:spacing w:after="60" w:before="0"/>
        <w:jc w:val="center"/>
      </w:pPr>
      <w:r>
        <w:rPr>
          <w:rFonts w:ascii="Arial" w:cs="Arial" w:eastAsia="Arial" w:hAnsi="Arial"/>
          <w:color w:val="4A5568"/>
          <w:sz w:val="22"/>
          <w:szCs w:val="22"/>
        </w:rPr>
        <w:t xml:space="preserve">Version 1.0  ·  May 2026</w:t>
      </w:r>
    </w:p>
    <w:p>
      <w:pPr>
        <w:spacing w:after="0" w:before="500"/>
      </w:pPr>
    </w:p>
    <w:p>
      <w:pPr>
        <w:pBdr>
          <w:bottom w:val="single" w:color="0B7A75" w:sz="4" w:space="1"/>
        </w:pBdr>
        <w:spacing w:after="80" w:before="80"/>
      </w:pPr>
    </w:p>
    <w:p>
      <w:pPr>
        <w:spacing w:after="0" w:before="80"/>
      </w:pPr>
    </w:p>
    <w:p>
      <w:pPr>
        <w:spacing w:after="40" w:before="0"/>
        <w:jc w:val="center"/>
      </w:pPr>
      <w:r>
        <w:rPr>
          <w:rFonts w:ascii="Arial" w:cs="Arial" w:eastAsia="Arial" w:hAnsi="Arial"/>
          <w:color w:val="4A5568"/>
          <w:sz w:val="20"/>
          <w:szCs w:val="20"/>
        </w:rPr>
        <w:t xml:space="preserve">Prepared by</w:t>
      </w:r>
    </w:p>
    <w:p>
      <w:pPr>
        <w:spacing w:after="30" w:before="0"/>
        <w:jc w:val="center"/>
      </w:pPr>
      <w:r>
        <w:rPr>
          <w:rFonts w:ascii="Arial" w:cs="Arial" w:eastAsia="Arial" w:hAnsi="Arial"/>
          <w:b/>
          <w:bCs/>
          <w:color w:val="0D2340"/>
          <w:sz w:val="28"/>
          <w:szCs w:val="28"/>
        </w:rPr>
        <w:t xml:space="preserve">J. Abiraj</w:t>
      </w:r>
    </w:p>
    <w:p>
      <w:pPr>
        <w:spacing w:after="20" w:before="0"/>
        <w:jc w:val="center"/>
      </w:pPr>
      <w:r>
        <w:rPr>
          <w:rFonts w:ascii="Arial" w:cs="Arial" w:eastAsia="Arial" w:hAnsi="Arial"/>
          <w:color w:val="0B7A75"/>
          <w:sz w:val="20"/>
          <w:szCs w:val="20"/>
        </w:rPr>
        <w:t xml:space="preserve">Frontend &amp; Full-Stack Engineer  ·  Project Sentinel</w:t>
      </w:r>
    </w:p>
    <w:p>
      <w:pPr>
        <w:spacing w:after="0" w:before="80"/>
      </w:pPr>
    </w:p>
    <w:p>
      <w:pPr>
        <w:pBdr>
          <w:bottom w:val="single" w:color="0B7A75" w:sz="4" w:space="1"/>
        </w:pBdr>
        <w:spacing w:after="80" w:before="80"/>
      </w:pPr>
    </w:p>
    <w:p>
      <w:pPr>
        <w:spacing w:after="0" w:before="400"/>
      </w:pPr>
    </w:p>
    <w:p>
      <w:pPr>
        <w:jc w:val="center"/>
      </w:pPr>
      <w:r>
        <w:rPr>
          <w:rFonts w:ascii="Arial" w:cs="Arial" w:eastAsia="Arial" w:hAnsi="Arial"/>
          <w:b/>
          <w:bCs/>
          <w:caps/>
          <w:color w:val="4A5568"/>
          <w:sz w:val="18"/>
          <w:szCs w:val="18"/>
        </w:rPr>
        <w:t xml:space="preserve">CONFIDENTIAL  ·  INTERNAL DISTRIBUTION ONLY</w:t>
      </w:r>
    </w:p>
    <w:p>
      <w:pPr>
        <w:sectPr>
          <w:pgSz w:w="12240" w:h="15840" w:orient="portrait"/>
          <w:pgMar w:top="1440" w:right="1440" w:bottom="1440" w:left="1440" w:header="708" w:footer="708" w:gutter="0"/>
          <w:pgNumType/>
          <w:docGrid w:linePitch="360"/>
        </w:sectPr>
      </w:pPr>
    </w:p>
    <w:p>
      <w:pPr>
        <w:pStyle w:val="Heading1"/>
        <w:pBdr>
          <w:bottom w:val="single" w:color="0B7A75" w:sz="8" w:space="4"/>
        </w:pBdr>
        <w:spacing w:after="120" w:before="400"/>
      </w:pPr>
      <w:r>
        <w:rPr>
          <w:rFonts w:ascii="Arial" w:cs="Arial" w:eastAsia="Arial" w:hAnsi="Arial"/>
          <w:b/>
          <w:bCs/>
          <w:color w:val="0D2340"/>
          <w:sz w:val="36"/>
          <w:szCs w:val="36"/>
        </w:rPr>
        <w:t xml:space="preserve">1. Executive Summary</w:t>
      </w:r>
    </w:p>
    <w:p>
      <w:pPr>
        <w:pBdr>
          <w:left w:val="single" w:color="0B7A75" w:sz="12" w:space="6"/>
        </w:pBdr>
        <w:shd w:fill="E8F5F4" w:val="clear"/>
        <w:spacing w:after="100" w:before="100"/>
        <w:ind w:left="400"/>
      </w:pPr>
      <w:r>
        <w:rPr>
          <w:rFonts w:ascii="Arial" w:cs="Arial" w:eastAsia="Arial" w:hAnsi="Arial"/>
          <w:color w:val="4A5568"/>
          <w:sz w:val="21"/>
          <w:szCs w:val="21"/>
        </w:rPr>
        <w:t xml:space="preserve">This document constitutes the authoritative engineering reference for the BLOS (Business Logic Operating System) platform — internally designated Project Sentinel — developed and maintained within the Ledsone Centralizer Operations Hub.</w:t>
      </w:r>
    </w:p>
    <w:p>
      <w:pPr>
        <w:spacing w:after="0" w:before="80"/>
      </w:pPr>
    </w:p>
    <w:p>
      <w:pPr>
        <w:spacing w:after="60" w:before="60"/>
      </w:pPr>
      <w:r>
        <w:rPr>
          <w:rFonts w:ascii="Arial" w:cs="Arial" w:eastAsia="Arial" w:hAnsi="Arial"/>
          <w:color w:val="1A202C"/>
          <w:sz w:val="22"/>
          <w:szCs w:val="22"/>
        </w:rPr>
        <w:t xml:space="preserve">The Ledsone Centralizer is a purpose-built, enterprise-grade Account SPA engineered on a Laravel + Vue 2 technology stack. The system delivers a unified operations interface spanning threshold governance, business rule configuration, and centralised file management. All modules are orchestrated within a single, cohesive workspace accessible through a role-aware, permission-scoped frontend.</w:t>
      </w:r>
    </w:p>
    <w:p>
      <w:pPr>
        <w:spacing w:after="0" w:before="60"/>
      </w:pPr>
    </w:p>
    <w:p>
      <w:pPr>
        <w:spacing w:after="60" w:before="60"/>
      </w:pPr>
      <w:r>
        <w:rPr>
          <w:rFonts w:ascii="Arial" w:cs="Arial" w:eastAsia="Arial" w:hAnsi="Arial"/>
          <w:color w:val="1A202C"/>
          <w:sz w:val="22"/>
          <w:szCs w:val="22"/>
        </w:rPr>
        <w:t xml:space="preserve">This documentation consolidates engineering activity history, architectural conventions, module-level implementation analyses, UI/UX design standards, and forward-looking improvement roadmaps into a single reference artefact suitable for company delivery, engineering portfolio review, and enterprise-grade technical audit.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1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Project Name</w:t>
            </w:r>
          </w:p>
        </w:tc>
        <w:tc>
          <w:tcPr>
            <w:tcW w:type="dxa" w:w="6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BLOS — Business Logic Operating System (Project Sentinel)</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Repository</w:t>
            </w:r>
          </w:p>
        </w:tc>
        <w:tc>
          <w:tcPr>
            <w:tcW w:type="dxa" w:w="6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ledsone-centralizer</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Primary Developer</w:t>
            </w:r>
          </w:p>
        </w:tc>
        <w:tc>
          <w:tcPr>
            <w:tcW w:type="dxa" w:w="6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J. Abiraj</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Application Type</w:t>
            </w:r>
          </w:p>
        </w:tc>
        <w:tc>
          <w:tcPr>
            <w:tcW w:type="dxa" w:w="6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Laravel + Vue 2 Account SPA</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Documentation Version</w:t>
            </w:r>
          </w:p>
        </w:tc>
        <w:tc>
          <w:tcPr>
            <w:tcW w:type="dxa" w:w="6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1.0</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Last Engineering Activity</w:t>
            </w:r>
          </w:p>
        </w:tc>
        <w:tc>
          <w:tcPr>
            <w:tcW w:type="dxa" w:w="6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May 18, 2026</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Document Classification</w:t>
            </w:r>
          </w:p>
        </w:tc>
        <w:tc>
          <w:tcPr>
            <w:tcW w:type="dxa" w:w="6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Confidential — Internal Use Only</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2. System Overview</w:t>
      </w:r>
    </w:p>
    <w:p>
      <w:pPr>
        <w:spacing w:after="60" w:before="60"/>
      </w:pPr>
      <w:r>
        <w:rPr>
          <w:rFonts w:ascii="Arial" w:cs="Arial" w:eastAsia="Arial" w:hAnsi="Arial"/>
          <w:color w:val="1A202C"/>
          <w:sz w:val="22"/>
          <w:szCs w:val="22"/>
        </w:rPr>
        <w:t xml:space="preserve">The Ledsone Centralizer Operations Hub is architected as an integrated business intelligence and configuration platform. It consolidates three operationally distinct domains — threshold governance, OIL v5 business rule orchestration, and centralised file management — into a single authenticated Account SPA, eliminating the operational fragmentation traditionally associated with multi-tool enterprise environments.</w:t>
      </w:r>
    </w:p>
    <w:p>
      <w:pPr>
        <w:spacing w:after="0" w:before="80"/>
      </w:pPr>
    </w:p>
    <w:p>
      <w:pPr>
        <w:pStyle w:val="Heading2"/>
        <w:spacing w:after="80" w:before="280"/>
      </w:pPr>
      <w:r>
        <w:rPr>
          <w:rFonts w:ascii="Arial" w:cs="Arial" w:eastAsia="Arial" w:hAnsi="Arial"/>
          <w:b/>
          <w:bCs/>
          <w:color w:val="0B7A75"/>
          <w:sz w:val="28"/>
          <w:szCs w:val="28"/>
        </w:rPr>
        <w:t xml:space="preserve">2.1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6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Location</w:t>
            </w:r>
          </w:p>
        </w:tc>
      </w:tr>
      <w:tr>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Backend API</w:t>
            </w:r>
          </w:p>
        </w:tc>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Laravel (PHP)</w:t>
            </w:r>
          </w:p>
        </w:tc>
        <w:tc>
          <w:tcPr>
            <w:tcW w:type="dxa" w:w="4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app/Http/Controllers/Api/</w:t>
            </w:r>
          </w:p>
        </w:tc>
      </w:tr>
      <w:tr>
        <w:tc>
          <w:tcPr>
            <w:tcW w:type="dxa" w:w="2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 SPA</w:t>
            </w:r>
          </w:p>
        </w:tc>
        <w:tc>
          <w:tcPr>
            <w:tcW w:type="dxa" w:w="2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Vue 2</w:t>
            </w:r>
          </w:p>
        </w:tc>
        <w:tc>
          <w:tcPr>
            <w:tcW w:type="dxa" w:w="4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resources/js/Account/</w:t>
            </w:r>
          </w:p>
        </w:tc>
      </w:tr>
      <w:tr>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Build Pipeline</w:t>
            </w:r>
          </w:p>
        </w:tc>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Laravel Mix</w:t>
            </w:r>
          </w:p>
        </w:tc>
        <w:tc>
          <w:tcPr>
            <w:tcW w:type="dxa" w:w="4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npm run development / production</w:t>
            </w:r>
          </w:p>
        </w:tc>
      </w:tr>
      <w:tr>
        <w:tc>
          <w:tcPr>
            <w:tcW w:type="dxa" w:w="2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SPA Entry Point</w:t>
            </w:r>
          </w:p>
        </w:tc>
        <w:tc>
          <w:tcPr>
            <w:tcW w:type="dxa" w:w="2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Account.js → Account Router</w:t>
            </w:r>
          </w:p>
        </w:tc>
        <w:tc>
          <w:tcPr>
            <w:tcW w:type="dxa" w:w="4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resources/js/Account.js</w:t>
            </w:r>
          </w:p>
        </w:tc>
      </w:tr>
      <w:tr>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Layout Controller</w:t>
            </w:r>
          </w:p>
        </w:tc>
        <w:tc>
          <w:tcPr>
            <w:tcW w:type="dxa" w:w="2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App.vue — isFullBleedMain()</w:t>
            </w:r>
          </w:p>
        </w:tc>
        <w:tc>
          <w:tcPr>
            <w:tcW w:type="dxa" w:w="4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resources/js/Account/App.vue</w:t>
            </w:r>
          </w:p>
        </w:tc>
      </w:tr>
    </w:tbl>
    <w:p>
      <w:pPr>
        <w:spacing w:after="0" w:before="100"/>
      </w:pPr>
    </w:p>
    <w:p>
      <w:pPr>
        <w:pStyle w:val="Heading2"/>
        <w:spacing w:after="80" w:before="280"/>
      </w:pPr>
      <w:r>
        <w:rPr>
          <w:rFonts w:ascii="Arial" w:cs="Arial" w:eastAsia="Arial" w:hAnsi="Arial"/>
          <w:b/>
          <w:bCs/>
          <w:color w:val="0B7A75"/>
          <w:sz w:val="28"/>
          <w:szCs w:val="28"/>
        </w:rPr>
        <w:t xml:space="preserve">2.2 System Modules</w:t>
      </w:r>
    </w:p>
    <w:p>
      <w:pPr>
        <w:spacing w:after="60" w:before="60"/>
      </w:pPr>
      <w:r>
        <w:rPr>
          <w:rFonts w:ascii="Arial" w:cs="Arial" w:eastAsia="Arial" w:hAnsi="Arial"/>
          <w:color w:val="1A202C"/>
          <w:sz w:val="22"/>
          <w:szCs w:val="22"/>
        </w:rPr>
        <w:t xml:space="preserve">The platform comprises three primary functional modules, each engineered as an independent Vue 2 page component with dedicated routing, scoped CSS architecture, and API integration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w:t>
            </w:r>
          </w:p>
        </w:tc>
        <w:tc>
          <w:tcPr>
            <w:tcW w:type="dxa" w:w="24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9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w:t>
            </w:r>
          </w:p>
        </w:tc>
      </w:tr>
      <w:tr>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Dashboard</w:t>
            </w:r>
          </w:p>
        </w:tc>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w:t>
            </w:r>
          </w:p>
        </w:tc>
        <w:tc>
          <w:tcPr>
            <w:tcW w:type="dxa" w:w="2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Dashboard.vue</w:t>
            </w:r>
          </w:p>
        </w:tc>
        <w:tc>
          <w:tcPr>
            <w:tcW w:type="dxa" w:w="29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Role-based workspace portal with live metrics and tool navigation</w:t>
            </w:r>
          </w:p>
        </w:tc>
      </w:tr>
      <w:tr>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 Configurator</w:t>
            </w:r>
          </w:p>
        </w:tc>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/threshold-configurator</w:t>
            </w:r>
          </w:p>
        </w:tc>
        <w:tc>
          <w:tcPr>
            <w:tcW w:type="dxa" w:w="2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ThresholdConfigurator.vue</w:t>
            </w:r>
          </w:p>
        </w:tc>
        <w:tc>
          <w:tcPr>
            <w:tcW w:type="dxa" w:w="29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Admin surface for business rule thresholds, mappings, and versioning</w:t>
            </w:r>
          </w:p>
        </w:tc>
      </w:tr>
      <w:tr>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Business OS Configurator</w:t>
            </w:r>
          </w:p>
        </w:tc>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/oil-configurator</w:t>
            </w:r>
          </w:p>
        </w:tc>
        <w:tc>
          <w:tcPr>
            <w:tcW w:type="dxa" w:w="2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OilConfigurator.vue</w:t>
            </w:r>
          </w:p>
        </w:tc>
        <w:tc>
          <w:tcPr>
            <w:tcW w:type="dxa" w:w="29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OIL v5 rules registry: domains, channel policies, KPI levels, YAML export</w:t>
            </w:r>
          </w:p>
        </w:tc>
      </w:tr>
      <w:tr>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Central File Library</w:t>
            </w:r>
          </w:p>
        </w:tc>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/file-manager</w:t>
            </w:r>
          </w:p>
        </w:tc>
        <w:tc>
          <w:tcPr>
            <w:tcW w:type="dxa" w:w="2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FileManager.vue</w:t>
            </w:r>
          </w:p>
        </w:tc>
        <w:tc>
          <w:tcPr>
            <w:tcW w:type="dxa" w:w="29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Hierarchical file management with folder navigation, upload, and ZIP export</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3. Architecture Overview</w:t>
      </w:r>
    </w:p>
    <w:p>
      <w:pPr>
        <w:spacing w:after="60" w:before="60"/>
      </w:pPr>
      <w:r>
        <w:rPr>
          <w:rFonts w:ascii="Arial" w:cs="Arial" w:eastAsia="Arial" w:hAnsi="Arial"/>
          <w:color w:val="1A202C"/>
          <w:sz w:val="22"/>
          <w:szCs w:val="22"/>
        </w:rPr>
        <w:t xml:space="preserve">The system adheres to a strict separation-of-concerns architecture, partitioning backend API responsibilities from frontend SPA rendering. The Laravel layer exposes RESTful API endpoints consumed by Vue 2 page components via a centralised authentication and session management utility.</w:t>
      </w:r>
    </w:p>
    <w:p>
      <w:pPr>
        <w:spacing w:after="0" w:before="80"/>
      </w:pPr>
    </w:p>
    <w:p>
      <w:pPr>
        <w:pStyle w:val="Heading2"/>
        <w:spacing w:after="80" w:before="280"/>
      </w:pPr>
      <w:r>
        <w:rPr>
          <w:rFonts w:ascii="Arial" w:cs="Arial" w:eastAsia="Arial" w:hAnsi="Arial"/>
          <w:b/>
          <w:bCs/>
          <w:color w:val="0B7A75"/>
          <w:sz w:val="28"/>
          <w:szCs w:val="28"/>
        </w:rPr>
        <w:t xml:space="preserve">3.1 Architectural Layers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rPr>
          <w:tblHeader/>
        </w:trPr>
        <w:tc>
          <w:tcPr>
            <w:tcW w:type="dxa" w:w="18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33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Patterns</w:t>
            </w:r>
          </w:p>
        </w:tc>
      </w:tr>
      <w:tr>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Presentation</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Vue 2 SPA — single-page rendering, route-based view composition</w:t>
            </w:r>
          </w:p>
        </w:tc>
        <w:tc>
          <w:tcPr>
            <w:tcW w:type="dxa" w:w="3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Component-scoped CSS, glass morphism UI system, staggered entrance animations</w:t>
            </w:r>
          </w:p>
        </w:tc>
      </w:tr>
      <w:tr>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Routing</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Vue Router — client-side path management</w:t>
            </w:r>
          </w:p>
        </w:tc>
        <w:tc>
          <w:tcPr>
            <w:tcW w:type="dxa" w:w="33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Named routes, full-bleed layout detection via isFullBleedMain()</w:t>
            </w:r>
          </w:p>
        </w:tc>
      </w:tr>
      <w:tr>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State / Session</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userSession utility — auth headers injected per API call</w:t>
            </w:r>
          </w:p>
        </w:tc>
        <w:tc>
          <w:tcPr>
            <w:tcW w:type="dxa" w:w="3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Centralised auth token management, role-based access scoping</w:t>
            </w:r>
          </w:p>
        </w:tc>
      </w:tr>
      <w:tr>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API Integration</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Laravel API controllers — RESTful endpoints</w:t>
            </w:r>
          </w:p>
        </w:tc>
        <w:tc>
          <w:tcPr>
            <w:tcW w:type="dxa" w:w="33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Structured API responses consumed by Vue components via authHeaders</w:t>
            </w:r>
          </w:p>
        </w:tc>
      </w:tr>
      <w:tr>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Build Pipeline</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Laravel Mix — Webpack-based asset compilation</w:t>
            </w:r>
          </w:p>
        </w:tc>
        <w:tc>
          <w:tcPr>
            <w:tcW w:type="dxa" w:w="3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Development and production build targets; no-commit rule on dist artifacts</w:t>
            </w:r>
          </w:p>
        </w:tc>
      </w:tr>
      <w:tr>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Configuration Export</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YAML export via __export function in OilConfigurator</w:t>
            </w:r>
          </w:p>
        </w:tc>
        <w:tc>
          <w:tcPr>
            <w:tcW w:type="dxa" w:w="33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rules_registry.yaml generated client-side and submitted to API</w:t>
            </w:r>
          </w:p>
        </w:tc>
      </w:tr>
    </w:tbl>
    <w:p>
      <w:pPr>
        <w:spacing w:after="0" w:before="100"/>
      </w:pPr>
    </w:p>
    <w:p>
      <w:pPr>
        <w:pStyle w:val="Heading2"/>
        <w:spacing w:after="80" w:before="280"/>
      </w:pPr>
      <w:r>
        <w:rPr>
          <w:rFonts w:ascii="Arial" w:cs="Arial" w:eastAsia="Arial" w:hAnsi="Arial"/>
          <w:b/>
          <w:bCs/>
          <w:color w:val="0B7A75"/>
          <w:sz w:val="28"/>
          <w:szCs w:val="28"/>
        </w:rPr>
        <w:t xml:space="preserve">3.2 Full-Bleed Layout Architecture</w:t>
      </w:r>
    </w:p>
    <w:p>
      <w:pPr>
        <w:spacing w:after="60" w:before="60"/>
      </w:pPr>
      <w:r>
        <w:rPr>
          <w:rFonts w:ascii="Arial" w:cs="Arial" w:eastAsia="Arial" w:hAnsi="Arial"/>
          <w:color w:val="1A202C"/>
          <w:sz w:val="22"/>
          <w:szCs w:val="22"/>
        </w:rPr>
        <w:t xml:space="preserve">A configurable full-bleed layout system was architected within App.vue. The isFullBleedMain() method evaluates the active route name and conditionally removes the default main-content padding, enabling page components to occupy the full viewport canvas. This pattern was extended across Dashboard, Threshold Configurator, Business OS Configurator, and File Manager.</w:t>
      </w:r>
    </w:p>
    <w:p>
      <w:pPr>
        <w:spacing w:after="0" w:before="60"/>
      </w:pPr>
    </w:p>
    <w:p>
      <w:pPr>
        <w:pBdr>
          <w:left w:val="single" w:color="0B7A75" w:sz="12" w:space="6"/>
        </w:pBdr>
        <w:shd w:fill="E8F5F4" w:val="clear"/>
        <w:spacing w:after="100" w:before="100"/>
        <w:ind w:left="400"/>
      </w:pPr>
      <w:r>
        <w:rPr>
          <w:rFonts w:ascii="Arial" w:cs="Arial" w:eastAsia="Arial" w:hAnsi="Arial"/>
          <w:color w:val="4A5568"/>
          <w:sz w:val="21"/>
          <w:szCs w:val="21"/>
        </w:rPr>
        <w:t xml:space="preserve">Full-bleed layout activation enables each module to implement bespoke visual environments — including animated mesh backgrounds and glassmorphic card systems — without interference from the global layout container.</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4. Frontend Engineering System</w:t>
      </w:r>
    </w:p>
    <w:p>
      <w:pPr>
        <w:spacing w:after="60" w:before="60"/>
      </w:pPr>
      <w:r>
        <w:rPr>
          <w:rFonts w:ascii="Arial" w:cs="Arial" w:eastAsia="Arial" w:hAnsi="Arial"/>
          <w:color w:val="1A202C"/>
          <w:sz w:val="22"/>
          <w:szCs w:val="22"/>
        </w:rPr>
        <w:t xml:space="preserve">The frontend engineering system was designed to deliver a cohesive, high-fidelity visual language across all four primary page modules. A standardised glass-morphism design system was engineered and applied uniformly, with module-scoped CSS namespacing ensuring zero cross-component style leakage.</w:t>
      </w:r>
    </w:p>
    <w:p>
      <w:pPr>
        <w:spacing w:after="0" w:before="80"/>
      </w:pPr>
    </w:p>
    <w:p>
      <w:pPr>
        <w:pStyle w:val="Heading2"/>
        <w:spacing w:after="80" w:before="280"/>
      </w:pPr>
      <w:r>
        <w:rPr>
          <w:rFonts w:ascii="Arial" w:cs="Arial" w:eastAsia="Arial" w:hAnsi="Arial"/>
          <w:b/>
          <w:bCs/>
          <w:color w:val="0B7A75"/>
          <w:sz w:val="28"/>
          <w:szCs w:val="28"/>
        </w:rPr>
        <w:t xml:space="preserve">4.1 Design System Architecture</w:t>
      </w:r>
    </w:p>
    <w:p>
      <w:pPr>
        <w:spacing w:after="60" w:before="60"/>
      </w:pPr>
      <w:r>
        <w:rPr>
          <w:rFonts w:ascii="Arial" w:cs="Arial" w:eastAsia="Arial" w:hAnsi="Arial"/>
          <w:color w:val="1A202C"/>
          <w:sz w:val="22"/>
          <w:szCs w:val="22"/>
        </w:rPr>
        <w:t xml:space="preserve">Each page module implements an identical structural pattern composed of four layered subsystems: a full-screen animated background layer, component entrance animation orchestration, glass-morphism surface rendering, and accessibility compliance via reduced-motion media queries.</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2660"/>
      </w:tblGrid>
      <w:tr>
        <w:trPr>
          <w:tblHeader/>
        </w:trPr>
        <w:tc>
          <w:tcPr>
            <w:tcW w:type="dxa" w:w="20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Subsystem</w:t>
            </w:r>
          </w:p>
        </w:tc>
        <w:tc>
          <w:tcPr>
            <w:tcW w:type="dxa" w:w="37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 Pattern</w:t>
            </w:r>
          </w:p>
        </w:tc>
        <w:tc>
          <w:tcPr>
            <w:tcW w:type="dxa" w:w="26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CSS Scope</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Background Layer</w:t>
            </w:r>
          </w:p>
        </w:tc>
        <w:tc>
          <w:tcPr>
            <w:tcW w:type="dxa" w:w="37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Mesh gradient + 3 animated orbs + grid overlay</w:t>
            </w:r>
          </w:p>
        </w:tc>
        <w:tc>
          <w:tcPr>
            <w:tcW w:type="dxa" w:w="2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*-bg, *-bg-mesh, *-bg-orb--*, *-bg-grid</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Entrance Animation</w:t>
            </w:r>
          </w:p>
        </w:tc>
        <w:tc>
          <w:tcPr>
            <w:tcW w:type="dxa" w:w="37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Staggered CSS transition via --*-delay CSS variable (0.05s–0.3s steps)</w:t>
            </w:r>
          </w:p>
        </w:tc>
        <w:tc>
          <w:tcPr>
            <w:tcW w:type="dxa" w:w="26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*-in class + --*-delay var</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Rise Keyframes</w:t>
            </w:r>
          </w:p>
        </w:tc>
        <w:tc>
          <w:tcPr>
            <w:tcW w:type="dxa" w:w="37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translateY(18px) → 0, 0.75s ease-out per element</w:t>
            </w:r>
          </w:p>
        </w:tc>
        <w:tc>
          <w:tcPr>
            <w:tcW w:type="dxa" w:w="2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@keyframes *-rise</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Glass Surface</w:t>
            </w:r>
          </w:p>
        </w:tc>
        <w:tc>
          <w:tcPr>
            <w:tcW w:type="dxa" w:w="37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rgba(255,255,255, 0.88-0.94) + backdrop-filter: blur()</w:t>
            </w:r>
          </w:p>
        </w:tc>
        <w:tc>
          <w:tcPr>
            <w:tcW w:type="dxa" w:w="26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Scoped per component</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Reduced Motion</w:t>
            </w:r>
          </w:p>
        </w:tc>
        <w:tc>
          <w:tcPr>
            <w:tcW w:type="dxa" w:w="37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@media (prefers-reduced-motion: reduce) — all animations suppressed</w:t>
            </w:r>
          </w:p>
        </w:tc>
        <w:tc>
          <w:tcPr>
            <w:tcW w:type="dxa" w:w="2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Global a11y override</w:t>
            </w:r>
          </w:p>
        </w:tc>
      </w:tr>
    </w:tbl>
    <w:p>
      <w:pPr>
        <w:spacing w:after="0" w:before="100"/>
      </w:pPr>
    </w:p>
    <w:p>
      <w:pPr>
        <w:pStyle w:val="Heading2"/>
        <w:spacing w:after="80" w:before="280"/>
      </w:pPr>
      <w:r>
        <w:rPr>
          <w:rFonts w:ascii="Arial" w:cs="Arial" w:eastAsia="Arial" w:hAnsi="Arial"/>
          <w:b/>
          <w:bCs/>
          <w:color w:val="0B7A75"/>
          <w:sz w:val="28"/>
          <w:szCs w:val="28"/>
        </w:rPr>
        <w:t xml:space="preserve">4.2 Module UI Class Map</w:t>
      </w:r>
    </w:p>
    <w:p>
      <w:pPr>
        <w:spacing w:after="60" w:before="60"/>
      </w:pPr>
      <w:r>
        <w:rPr>
          <w:rFonts w:ascii="Arial" w:cs="Arial" w:eastAsia="Arial" w:hAnsi="Arial"/>
          <w:color w:val="1A202C"/>
          <w:sz w:val="22"/>
          <w:szCs w:val="22"/>
        </w:rPr>
        <w:t xml:space="preserve">Strict per-module CSS namespacing was enforced across all page components. The class map below documents the canonical naming convention for each module's UI subsystem layers.</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300"/>
        <w:gridCol w:w="1260"/>
        <w:gridCol w:w="1300"/>
      </w:tblGrid>
      <w:tr>
        <w:trPr>
          <w:tblHeader/>
        </w:trPr>
        <w:tc>
          <w:tcPr>
            <w:tcW w:type="dxa" w:w="14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31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Background Layer</w:t>
            </w:r>
          </w:p>
        </w:tc>
        <w:tc>
          <w:tcPr>
            <w:tcW w:type="dxa" w:w="13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Entrance Class</w:t>
            </w:r>
          </w:p>
        </w:tc>
        <w:tc>
          <w:tcPr>
            <w:tcW w:type="dxa" w:w="12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Delay Variable</w:t>
            </w:r>
          </w:p>
        </w:tc>
        <w:tc>
          <w:tcPr>
            <w:tcW w:type="dxa" w:w="13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Rise Keyframe</w:t>
            </w:r>
          </w:p>
        </w:tc>
      </w:tr>
      <w:tr>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Dashboard</w:t>
            </w:r>
          </w:p>
        </w:tc>
        <w:tc>
          <w:tcPr>
            <w:tcW w:type="dxa" w:w="3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dashboard-bg, dashboard-bg-mesh, dashboard-bg-orb--*, dashboard-bg-grid</w:t>
            </w:r>
          </w:p>
        </w:tc>
        <w:tc>
          <w:tcPr>
            <w:tcW w:type="dxa" w:w="13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dash-in</w:t>
            </w:r>
          </w:p>
        </w:tc>
        <w:tc>
          <w:tcPr>
            <w:tcW w:type="dxa" w:w="12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--dash-delay</w:t>
            </w:r>
          </w:p>
        </w:tc>
        <w:tc>
          <w:tcPr>
            <w:tcW w:type="dxa" w:w="13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Inline @keyframes</w:t>
            </w:r>
          </w:p>
        </w:tc>
      </w:tr>
      <w:tr>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 Manager</w:t>
            </w:r>
          </w:p>
        </w:tc>
        <w:tc>
          <w:tcPr>
            <w:tcW w:type="dxa" w:w="3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fm-bg, fm-bg-mesh, fm-bg-orb--*, fm-bg-grid</w:t>
            </w:r>
          </w:p>
        </w:tc>
        <w:tc>
          <w:tcPr>
            <w:tcW w:type="dxa" w:w="13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fm-in</w:t>
            </w:r>
          </w:p>
        </w:tc>
        <w:tc>
          <w:tcPr>
            <w:tcW w:type="dxa" w:w="12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--fm-delay</w:t>
            </w:r>
          </w:p>
        </w:tc>
        <w:tc>
          <w:tcPr>
            <w:tcW w:type="dxa" w:w="13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fm-rise</w:t>
            </w:r>
          </w:p>
        </w:tc>
      </w:tr>
      <w:tr>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Config</w:t>
            </w:r>
          </w:p>
        </w:tc>
        <w:tc>
          <w:tcPr>
            <w:tcW w:type="dxa" w:w="3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tc-bg, tc-bg-mesh, tc-bg-orb--*, tc-bg-grid</w:t>
            </w:r>
          </w:p>
        </w:tc>
        <w:tc>
          <w:tcPr>
            <w:tcW w:type="dxa" w:w="13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tc-in</w:t>
            </w:r>
          </w:p>
        </w:tc>
        <w:tc>
          <w:tcPr>
            <w:tcW w:type="dxa" w:w="12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--tc-delay</w:t>
            </w:r>
          </w:p>
        </w:tc>
        <w:tc>
          <w:tcPr>
            <w:tcW w:type="dxa" w:w="13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tc-rise</w:t>
            </w:r>
          </w:p>
        </w:tc>
      </w:tr>
      <w:tr>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Business OS</w:t>
            </w:r>
          </w:p>
        </w:tc>
        <w:tc>
          <w:tcPr>
            <w:tcW w:type="dxa" w:w="3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oil-bg, oil-bg-mesh, oil-bg-orb--*, oil-bg-grid</w:t>
            </w:r>
          </w:p>
        </w:tc>
        <w:tc>
          <w:tcPr>
            <w:tcW w:type="dxa" w:w="13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oil-in</w:t>
            </w:r>
          </w:p>
        </w:tc>
        <w:tc>
          <w:tcPr>
            <w:tcW w:type="dxa" w:w="12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--oil-delay</w:t>
            </w:r>
          </w:p>
        </w:tc>
        <w:tc>
          <w:tcPr>
            <w:tcW w:type="dxa" w:w="13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oil-rise</w:t>
            </w:r>
          </w:p>
        </w:tc>
      </w:tr>
    </w:tbl>
    <w:p>
      <w:pPr>
        <w:spacing w:after="0" w:before="100"/>
      </w:pPr>
    </w:p>
    <w:p>
      <w:pPr>
        <w:pStyle w:val="Heading2"/>
        <w:spacing w:after="80" w:before="280"/>
      </w:pPr>
      <w:r>
        <w:rPr>
          <w:rFonts w:ascii="Arial" w:cs="Arial" w:eastAsia="Arial" w:hAnsi="Arial"/>
          <w:b/>
          <w:bCs/>
          <w:color w:val="0B7A75"/>
          <w:sz w:val="28"/>
          <w:szCs w:val="28"/>
        </w:rPr>
        <w:t xml:space="preserve">4.3 Navigation &amp; Header Engineering</w:t>
      </w:r>
    </w:p>
    <w:p>
      <w:pPr>
        <w:spacing w:after="60" w:before="60"/>
      </w:pPr>
      <w:r>
        <w:rPr>
          <w:rFonts w:ascii="Arial" w:cs="Arial" w:eastAsia="Arial" w:hAnsi="Arial"/>
          <w:color w:val="1A202C"/>
          <w:sz w:val="22"/>
          <w:szCs w:val="22"/>
        </w:rPr>
        <w:t xml:space="preserve">The application header was refactored to implement a softened brand identity. The outer border and accent stripe previously applied to the .nav-logo element were removed and replaced with a subtle mint gradient combined with a sheen animation effect on the .nav-logo-sheen pseudo-element. This refinement aligns the navigation chrome with the lighter, more ambient visual tone of the overall design system.</w:t>
      </w:r>
    </w:p>
    <w:p>
      <w:pPr>
        <w:spacing w:after="0" w:before="60"/>
      </w:pPr>
    </w:p>
    <w:p>
      <w:pPr>
        <w:spacing w:after="60" w:before="60"/>
      </w:pPr>
      <w:r>
        <w:rPr>
          <w:rFonts w:ascii="Arial" w:cs="Arial" w:eastAsia="Arial" w:hAnsi="Arial"/>
          <w:color w:val="1A202C"/>
          <w:sz w:val="22"/>
          <w:szCs w:val="22"/>
        </w:rPr>
        <w:t xml:space="preserve">The navigation renders role-aware contextual indicators in the top-right user badge, surfacing the active module context (e.g., "DASHBOARD", "BUSINESS OS CONFIGURATOR") alongside the authenticated user's display name and role designation.</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5. Backend / API Structure</w:t>
      </w:r>
    </w:p>
    <w:p>
      <w:pPr>
        <w:spacing w:after="60" w:before="60"/>
      </w:pPr>
      <w:r>
        <w:rPr>
          <w:rFonts w:ascii="Arial" w:cs="Arial" w:eastAsia="Arial" w:hAnsi="Arial"/>
          <w:color w:val="1A202C"/>
          <w:sz w:val="22"/>
          <w:szCs w:val="22"/>
        </w:rPr>
        <w:t xml:space="preserve">The backend layer is implemented as a Laravel application exposing RESTful API endpoints consumed by the Vue 2 SPA. API controllers are structured within the app/Http/Controllers/Api/ namespace, maintaining clean separation from web-facing route controllers.</w:t>
      </w:r>
    </w:p>
    <w:p>
      <w:pPr>
        <w:spacing w:after="0" w:before="80"/>
      </w:pPr>
    </w:p>
    <w:p>
      <w:pPr>
        <w:pStyle w:val="Heading2"/>
        <w:spacing w:after="80" w:before="280"/>
      </w:pPr>
      <w:r>
        <w:rPr>
          <w:rFonts w:ascii="Arial" w:cs="Arial" w:eastAsia="Arial" w:hAnsi="Arial"/>
          <w:b/>
          <w:bCs/>
          <w:color w:val="0B7A75"/>
          <w:sz w:val="28"/>
          <w:szCs w:val="28"/>
        </w:rPr>
        <w:t xml:space="preserve">5.1 Authentication &amp; Session Management</w:t>
      </w:r>
    </w:p>
    <w:p>
      <w:pPr>
        <w:spacing w:after="60" w:before="60"/>
      </w:pPr>
      <w:r>
        <w:rPr>
          <w:rFonts w:ascii="Arial" w:cs="Arial" w:eastAsia="Arial" w:hAnsi="Arial"/>
          <w:color w:val="1A202C"/>
          <w:sz w:val="22"/>
          <w:szCs w:val="22"/>
        </w:rPr>
        <w:t xml:space="preserve">All API interactions are mediated through the centralised userSession utility located at resources/js/Account/userSession. This module encapsulates authentication token management and injects auth headers into every outbound API request, providing a uniform and secure mechanism for session-aware data retrieval and mutation.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Path</w:t>
            </w:r>
          </w:p>
        </w:tc>
        <w:tc>
          <w:tcPr>
            <w:tcW w:type="dxa" w:w="41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Session Utility</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resources/js/Account/userSession</w:t>
            </w:r>
          </w:p>
        </w:tc>
        <w:tc>
          <w:tcPr>
            <w:tcW w:type="dxa" w:w="4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Centralised auth token storage and header injection</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API Controllers</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app/Http/Controllers/Api/</w:t>
            </w:r>
          </w:p>
        </w:tc>
        <w:tc>
          <w:tcPr>
            <w:tcW w:type="dxa" w:w="4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RESTful endpoint handlers for all domain modules</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Routes File</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resources/js/Account/Router.js</w:t>
            </w:r>
          </w:p>
        </w:tc>
        <w:tc>
          <w:tcPr>
            <w:tcW w:type="dxa" w:w="4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Client-side route definitions and named navigation</w:t>
            </w:r>
          </w:p>
        </w:tc>
      </w:tr>
    </w:tbl>
    <w:p>
      <w:pPr>
        <w:spacing w:after="0" w:before="100"/>
      </w:pPr>
    </w:p>
    <w:p>
      <w:pPr>
        <w:pStyle w:val="Heading2"/>
        <w:spacing w:after="80" w:before="280"/>
      </w:pPr>
      <w:r>
        <w:rPr>
          <w:rFonts w:ascii="Arial" w:cs="Arial" w:eastAsia="Arial" w:hAnsi="Arial"/>
          <w:b/>
          <w:bCs/>
          <w:color w:val="0B7A75"/>
          <w:sz w:val="28"/>
          <w:szCs w:val="28"/>
        </w:rPr>
        <w:t xml:space="preserve">5.2 YAML Configuration Export</w:t>
      </w:r>
    </w:p>
    <w:p>
      <w:pPr>
        <w:spacing w:after="60" w:before="60"/>
      </w:pPr>
      <w:r>
        <w:rPr>
          <w:rFonts w:ascii="Arial" w:cs="Arial" w:eastAsia="Arial" w:hAnsi="Arial"/>
          <w:color w:val="1A202C"/>
          <w:sz w:val="22"/>
          <w:szCs w:val="22"/>
        </w:rPr>
        <w:t xml:space="preserve">The Business OS Configurator implements a client-side YAML export mechanism (invoked via the __export function in OilConfigurator.vue). Upon invocation, the current state of all domain thresholds and rule mappings is serialised into a rules_registry.yaml payload and transmitted to the API via an authenticated save-all request. This pattern enables version-controlled configuration snapshots without requiring manual database introspection.</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6. Module-by-Module Engineering Analysis</w:t>
      </w:r>
    </w:p>
    <w:p>
      <w:pPr>
        <w:pStyle w:val="Heading2"/>
        <w:spacing w:after="80" w:before="280"/>
      </w:pPr>
      <w:r>
        <w:rPr>
          <w:rFonts w:ascii="Arial" w:cs="Arial" w:eastAsia="Arial" w:hAnsi="Arial"/>
          <w:b/>
          <w:bCs/>
          <w:color w:val="0B7A75"/>
          <w:sz w:val="28"/>
          <w:szCs w:val="28"/>
        </w:rPr>
        <w:t xml:space="preserve">6.1 Dashboard — Operations Hub Portal</w:t>
      </w:r>
    </w:p>
    <w:p>
      <w:pPr>
        <w:spacing w:after="60" w:before="60"/>
      </w:pPr>
      <w:r>
        <w:rPr>
          <w:rFonts w:ascii="Arial" w:cs="Arial" w:eastAsia="Arial" w:hAnsi="Arial"/>
          <w:color w:val="1A202C"/>
          <w:sz w:val="22"/>
          <w:szCs w:val="22"/>
        </w:rPr>
        <w:t xml:space="preserve">The Dashboard module serves as the primary entry point to the Ledsone Centralizer Operations Hub. It was engineered as a role-aware workspace portal, dynamically surfacing workspace tools and user context metrics based on the authenticated user's role and permission scope.</w:t>
      </w:r>
    </w:p>
    <w:p>
      <w:pPr>
        <w:spacing w:after="0" w:before="60"/>
      </w:pPr>
    </w:p>
    <w:p>
      <w:pPr>
        <w:pStyle w:val="Heading3"/>
        <w:spacing w:after="60" w:before="200"/>
      </w:pPr>
      <w:r>
        <w:rPr>
          <w:rFonts w:ascii="Arial" w:cs="Arial" w:eastAsia="Arial" w:hAnsi="Arial"/>
          <w:b/>
          <w:bCs/>
          <w:color w:val="1A8F7F"/>
          <w:sz w:val="24"/>
          <w:szCs w:val="24"/>
        </w:rPr>
        <w:t xml:space="preserve">Key Engineering Contributions</w:t>
      </w:r>
    </w:p>
    <w:p>
      <w:pPr>
        <w:pStyle w:val="ListParagraph"/>
        <w:numPr>
          <w:ilvl w:val="0"/>
          <w:numId w:val="2"/>
        </w:numPr>
        <w:spacing w:after="40" w:before="40"/>
      </w:pPr>
      <w:r>
        <w:rPr>
          <w:rFonts w:ascii="Arial" w:cs="Arial" w:eastAsia="Arial" w:hAnsi="Arial"/>
          <w:color w:val="1A202C"/>
          <w:sz w:val="21"/>
          <w:szCs w:val="21"/>
        </w:rPr>
        <w:t xml:space="preserve">Implemented full-screen light-theme layout with animated mesh background, eliminating legacy static presentation</w:t>
      </w:r>
    </w:p>
    <w:p>
      <w:pPr>
        <w:pStyle w:val="ListParagraph"/>
        <w:numPr>
          <w:ilvl w:val="0"/>
          <w:numId w:val="2"/>
        </w:numPr>
        <w:spacing w:after="40" w:before="40"/>
      </w:pPr>
      <w:r>
        <w:rPr>
          <w:rFonts w:ascii="Arial" w:cs="Arial" w:eastAsia="Arial" w:hAnsi="Arial"/>
          <w:color w:val="1A202C"/>
          <w:sz w:val="21"/>
          <w:szCs w:val="21"/>
        </w:rPr>
        <w:t xml:space="preserve">Engineered glass-morphism card system for workspace tool modules (Threshold Configurator, Business OS, Central File Library)</w:t>
      </w:r>
    </w:p>
    <w:p>
      <w:pPr>
        <w:pStyle w:val="ListParagraph"/>
        <w:numPr>
          <w:ilvl w:val="0"/>
          <w:numId w:val="2"/>
        </w:numPr>
        <w:spacing w:after="40" w:before="40"/>
      </w:pPr>
      <w:r>
        <w:rPr>
          <w:rFonts w:ascii="Arial" w:cs="Arial" w:eastAsia="Arial" w:hAnsi="Arial"/>
          <w:color w:val="1A202C"/>
          <w:sz w:val="21"/>
          <w:szCs w:val="21"/>
        </w:rPr>
        <w:t xml:space="preserve">Orchestrated dash-in staggered entrance animation system with --dash-delay CSS variable controlling per-element timing</w:t>
      </w:r>
    </w:p>
    <w:p>
      <w:pPr>
        <w:pStyle w:val="ListParagraph"/>
        <w:numPr>
          <w:ilvl w:val="0"/>
          <w:numId w:val="2"/>
        </w:numPr>
        <w:spacing w:after="40" w:before="40"/>
      </w:pPr>
      <w:r>
        <w:rPr>
          <w:rFonts w:ascii="Arial" w:cs="Arial" w:eastAsia="Arial" w:hAnsi="Arial"/>
          <w:color w:val="1A202C"/>
          <w:sz w:val="21"/>
          <w:szCs w:val="21"/>
        </w:rPr>
        <w:t xml:space="preserve">Preserved and integrated role-based content rendering — Admin role surfaces unrestricted threshold scope and full file library access</w:t>
      </w:r>
    </w:p>
    <w:p>
      <w:pPr>
        <w:pStyle w:val="ListParagraph"/>
        <w:numPr>
          <w:ilvl w:val="0"/>
          <w:numId w:val="2"/>
        </w:numPr>
        <w:spacing w:after="40" w:before="40"/>
      </w:pPr>
      <w:r>
        <w:rPr>
          <w:rFonts w:ascii="Arial" w:cs="Arial" w:eastAsia="Arial" w:hAnsi="Arial"/>
          <w:color w:val="1A202C"/>
          <w:sz w:val="21"/>
          <w:szCs w:val="21"/>
        </w:rPr>
        <w:t xml:space="preserve">Extended full-bleed layout support from App.vue to Dashboard route, enabling borderless canvas composition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 Detail</w:t>
            </w:r>
          </w:p>
        </w:tc>
      </w:tr>
      <w:tr>
        <w:tc>
          <w:tcPr>
            <w:tcW w:type="dxa" w:w="2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Role Metrics Panel</w:t>
            </w:r>
          </w:p>
        </w:tc>
        <w:tc>
          <w:tcPr>
            <w:tcW w:type="dxa" w:w="6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Displays workspace tool count (3), access level (Admin), file library scope (Full), threshold scope (Unrestricted)</w:t>
            </w:r>
          </w:p>
        </w:tc>
      </w:tr>
      <w:tr>
        <w:tc>
          <w:tcPr>
            <w:tcW w:type="dxa" w:w="2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Tool Navigation Cards</w:t>
            </w:r>
          </w:p>
        </w:tc>
        <w:tc>
          <w:tcPr>
            <w:tcW w:type="dxa" w:w="6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Three glassmorphic module cards: Threshold Configurator (Essential), Business OS (OIL V5), Central File Library (Library)</w:t>
            </w:r>
          </w:p>
        </w:tc>
      </w:tr>
      <w:tr>
        <w:tc>
          <w:tcPr>
            <w:tcW w:type="dxa" w:w="2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User Context Widget</w:t>
            </w:r>
          </w:p>
        </w:tc>
        <w:tc>
          <w:tcPr>
            <w:tcW w:type="dxa" w:w="6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Top-right panel displaying signed-in user, current date, and system operational status indicator</w:t>
            </w:r>
          </w:p>
        </w:tc>
      </w:tr>
      <w:tr>
        <w:tc>
          <w:tcPr>
            <w:tcW w:type="dxa" w:w="2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Live Workspace Badge</w:t>
            </w:r>
          </w:p>
        </w:tc>
        <w:tc>
          <w:tcPr>
            <w:tcW w:type="dxa" w:w="6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Animated teal dot indicator surfacing workspace operational status in real time</w:t>
            </w:r>
          </w:p>
        </w:tc>
      </w:tr>
    </w:tbl>
    <w:p>
      <w:pPr>
        <w:spacing w:after="0" w:before="100"/>
      </w:pPr>
    </w:p>
    <w:p>
      <w:pPr>
        <w:pBdr>
          <w:bottom w:val="single" w:color="D8DEE6" w:sz="4" w:space="1"/>
        </w:pBdr>
        <w:spacing w:after="80" w:before="80"/>
      </w:pPr>
    </w:p>
    <w:p>
      <w:pPr>
        <w:spacing w:after="0" w:before="60"/>
      </w:pPr>
    </w:p>
    <w:p>
      <w:pPr>
        <w:pStyle w:val="Heading2"/>
        <w:spacing w:after="80" w:before="280"/>
      </w:pPr>
      <w:r>
        <w:rPr>
          <w:rFonts w:ascii="Arial" w:cs="Arial" w:eastAsia="Arial" w:hAnsi="Arial"/>
          <w:b/>
          <w:bCs/>
          <w:color w:val="0B7A75"/>
          <w:sz w:val="28"/>
          <w:szCs w:val="28"/>
        </w:rPr>
        <w:t xml:space="preserve">6.2 Business OS Configurator — OIL v5 Rules Registry</w:t>
      </w:r>
    </w:p>
    <w:p>
      <w:pPr>
        <w:spacing w:after="60" w:before="60"/>
      </w:pPr>
      <w:r>
        <w:rPr>
          <w:rFonts w:ascii="Arial" w:cs="Arial" w:eastAsia="Arial" w:hAnsi="Arial"/>
          <w:color w:val="1A202C"/>
          <w:sz w:val="22"/>
          <w:szCs w:val="22"/>
        </w:rPr>
        <w:t xml:space="preserve">The Business OS Configurator (OilConfigurator.vue) is the most architecturally complex module in the system. It implements a full OIL v5 rules registry interface spanning 8 operational domains and 80 threshold configurations, with inline editing, channel-grouped rule cards, YAML export, and persistent save-all functionality.</w:t>
      </w:r>
    </w:p>
    <w:p>
      <w:pPr>
        <w:spacing w:after="0" w:before="60"/>
      </w:pPr>
    </w:p>
    <w:p>
      <w:pPr>
        <w:pStyle w:val="Heading3"/>
        <w:spacing w:after="60" w:before="200"/>
      </w:pPr>
      <w:r>
        <w:rPr>
          <w:rFonts w:ascii="Arial" w:cs="Arial" w:eastAsia="Arial" w:hAnsi="Arial"/>
          <w:b/>
          <w:bCs/>
          <w:color w:val="1A8F7F"/>
          <w:sz w:val="24"/>
          <w:szCs w:val="24"/>
        </w:rPr>
        <w:t xml:space="preserve">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Domain</w:t>
            </w:r>
          </w:p>
        </w:tc>
        <w:tc>
          <w:tcPr>
            <w:tcW w:type="dxa" w:w="18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Threshold Count</w:t>
            </w:r>
          </w:p>
        </w:tc>
        <w:tc>
          <w:tcPr>
            <w:tcW w:type="dxa" w:w="40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Focus</w:t>
            </w:r>
          </w:p>
        </w:tc>
      </w:tr>
      <w:tr>
        <w:tc>
          <w:tcPr>
            <w:tcW w:type="dxa" w:w="3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Amazon Organic Listing Performance</w:t>
            </w:r>
          </w:p>
        </w:tc>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7</w:t>
            </w:r>
          </w:p>
        </w:tc>
        <w:tc>
          <w:tcPr>
            <w:tcW w:type="dxa" w:w="40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CTR collapse detection, impression benchmarks, recovery targets</w:t>
            </w:r>
          </w:p>
        </w:tc>
      </w:tr>
      <w:tr>
        <w:tc>
          <w:tcPr>
            <w:tcW w:type="dxa" w:w="3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Fulfilment SLA</w:t>
            </w:r>
          </w:p>
        </w:tc>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8</w:t>
            </w:r>
          </w:p>
        </w:tc>
        <w:tc>
          <w:tcPr>
            <w:tcW w:type="dxa" w:w="40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Delivery compliance and SLA breach thresholds</w:t>
            </w:r>
          </w:p>
        </w:tc>
      </w:tr>
      <w:tr>
        <w:tc>
          <w:tcPr>
            <w:tcW w:type="dxa" w:w="3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Organic Listing Performance</w:t>
            </w:r>
          </w:p>
        </w:tc>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16</w:t>
            </w:r>
          </w:p>
        </w:tc>
        <w:tc>
          <w:tcPr>
            <w:tcW w:type="dxa" w:w="40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Organic ranking health, visibility KPIs</w:t>
            </w:r>
          </w:p>
        </w:tc>
      </w:tr>
      <w:tr>
        <w:tc>
          <w:tcPr>
            <w:tcW w:type="dxa" w:w="3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Portfolio Health</w:t>
            </w:r>
          </w:p>
        </w:tc>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8</w:t>
            </w:r>
          </w:p>
        </w:tc>
        <w:tc>
          <w:tcPr>
            <w:tcW w:type="dxa" w:w="40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Cross-SKU health signals and portfolio balance metrics</w:t>
            </w:r>
          </w:p>
        </w:tc>
      </w:tr>
      <w:tr>
        <w:tc>
          <w:tcPr>
            <w:tcW w:type="dxa" w:w="3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Pricing Strategy</w:t>
            </w:r>
          </w:p>
        </w:tc>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8</w:t>
            </w:r>
          </w:p>
        </w:tc>
        <w:tc>
          <w:tcPr>
            <w:tcW w:type="dxa" w:w="40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Margin bands, price competitiveness thresholds</w:t>
            </w:r>
          </w:p>
        </w:tc>
      </w:tr>
      <w:tr>
        <w:tc>
          <w:tcPr>
            <w:tcW w:type="dxa" w:w="3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Product Economics</w:t>
            </w:r>
          </w:p>
        </w:tc>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14</w:t>
            </w:r>
          </w:p>
        </w:tc>
        <w:tc>
          <w:tcPr>
            <w:tcW w:type="dxa" w:w="40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Cost, contribution, and profitability floor configurations</w:t>
            </w:r>
          </w:p>
        </w:tc>
      </w:tr>
      <w:tr>
        <w:tc>
          <w:tcPr>
            <w:tcW w:type="dxa" w:w="3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Product Quality</w:t>
            </w:r>
          </w:p>
        </w:tc>
        <w:tc>
          <w:tcPr>
            <w:tcW w:type="dxa" w:w="1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12</w:t>
            </w:r>
          </w:p>
        </w:tc>
        <w:tc>
          <w:tcPr>
            <w:tcW w:type="dxa" w:w="40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Review scores, defect rates, quality gate thresholds</w:t>
            </w:r>
          </w:p>
        </w:tc>
      </w:tr>
      <w:tr>
        <w:tc>
          <w:tcPr>
            <w:tcW w:type="dxa" w:w="3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SKU Lifecycle</w:t>
            </w:r>
          </w:p>
        </w:tc>
        <w:tc>
          <w:tcPr>
            <w:tcW w:type="dxa" w:w="1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7</w:t>
            </w:r>
          </w:p>
        </w:tc>
        <w:tc>
          <w:tcPr>
            <w:tcW w:type="dxa" w:w="40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Launch, maturity, and sunset trigger conditions</w:t>
            </w:r>
          </w:p>
        </w:tc>
      </w:tr>
    </w:tbl>
    <w:p>
      <w:pPr>
        <w:spacing w:after="0" w:before="60"/>
      </w:pPr>
    </w:p>
    <w:p>
      <w:pPr>
        <w:pStyle w:val="Heading3"/>
        <w:spacing w:after="60" w:before="200"/>
      </w:pPr>
      <w:r>
        <w:rPr>
          <w:rFonts w:ascii="Arial" w:cs="Arial" w:eastAsia="Arial" w:hAnsi="Arial"/>
          <w:b/>
          <w:bCs/>
          <w:color w:val="1A8F7F"/>
          <w:sz w:val="24"/>
          <w:szCs w:val="24"/>
        </w:rPr>
        <w:t xml:space="preserve">Key Engineering Contributions</w:t>
      </w:r>
    </w:p>
    <w:p>
      <w:pPr>
        <w:pStyle w:val="ListParagraph"/>
        <w:numPr>
          <w:ilvl w:val="0"/>
          <w:numId w:val="2"/>
        </w:numPr>
        <w:spacing w:after="40" w:before="40"/>
      </w:pPr>
      <w:r>
        <w:rPr>
          <w:rFonts w:ascii="Arial" w:cs="Arial" w:eastAsia="Arial" w:hAnsi="Arial"/>
          <w:color w:val="1A202C"/>
          <w:sz w:val="21"/>
          <w:szCs w:val="21"/>
        </w:rPr>
        <w:t xml:space="preserve">Architected animated oil-bg light background with hero topbar incorporating live-dot operational indicator</w:t>
      </w:r>
    </w:p>
    <w:p>
      <w:pPr>
        <w:pStyle w:val="ListParagraph"/>
        <w:numPr>
          <w:ilvl w:val="0"/>
          <w:numId w:val="2"/>
        </w:numPr>
        <w:spacing w:after="40" w:before="40"/>
      </w:pPr>
      <w:r>
        <w:rPr>
          <w:rFonts w:ascii="Arial" w:cs="Arial" w:eastAsia="Arial" w:hAnsi="Arial"/>
          <w:color w:val="1A202C"/>
          <w:sz w:val="21"/>
          <w:szCs w:val="21"/>
        </w:rPr>
        <w:t xml:space="preserve">Engineered oil-in staggered entrance system across domains sidebar, threshold cards, and topbar chrome</w:t>
      </w:r>
    </w:p>
    <w:p>
      <w:pPr>
        <w:pStyle w:val="ListParagraph"/>
        <w:numPr>
          <w:ilvl w:val="0"/>
          <w:numId w:val="2"/>
        </w:numPr>
        <w:spacing w:after="40" w:before="40"/>
      </w:pPr>
      <w:r>
        <w:rPr>
          <w:rFonts w:ascii="Arial" w:cs="Arial" w:eastAsia="Arial" w:hAnsi="Arial"/>
          <w:color w:val="1A202C"/>
          <w:sz w:val="21"/>
          <w:szCs w:val="21"/>
        </w:rPr>
        <w:t xml:space="preserve">Implemented inline-editable threshold value fields with directional indicators (above/below) per threshold parameter</w:t>
      </w:r>
    </w:p>
    <w:p>
      <w:pPr>
        <w:pStyle w:val="ListParagraph"/>
        <w:numPr>
          <w:ilvl w:val="0"/>
          <w:numId w:val="2"/>
        </w:numPr>
        <w:spacing w:after="40" w:before="40"/>
      </w:pPr>
      <w:r>
        <w:rPr>
          <w:rFonts w:ascii="Arial" w:cs="Arial" w:eastAsia="Arial" w:hAnsi="Arial"/>
          <w:color w:val="1A202C"/>
          <w:sz w:val="21"/>
          <w:szCs w:val="21"/>
        </w:rPr>
        <w:t xml:space="preserve">Orchestrated domain-to-rule-mapping relationship: mapping_id → business_rule_categorical_mapping.id, rule_id → business_rules.rule_id</w:t>
      </w:r>
    </w:p>
    <w:p>
      <w:pPr>
        <w:pStyle w:val="ListParagraph"/>
        <w:numPr>
          <w:ilvl w:val="0"/>
          <w:numId w:val="2"/>
        </w:numPr>
        <w:spacing w:after="40" w:before="40"/>
      </w:pPr>
      <w:r>
        <w:rPr>
          <w:rFonts w:ascii="Arial" w:cs="Arial" w:eastAsia="Arial" w:hAnsi="Arial"/>
          <w:color w:val="1A202C"/>
          <w:sz w:val="21"/>
          <w:szCs w:val="21"/>
        </w:rPr>
        <w:t xml:space="preserve">Implemented YAML export function serialising all 80 threshold values to rules_registry.yaml via authenticated API call</w:t>
      </w:r>
    </w:p>
    <w:p>
      <w:pPr>
        <w:pStyle w:val="ListParagraph"/>
        <w:numPr>
          <w:ilvl w:val="0"/>
          <w:numId w:val="2"/>
        </w:numPr>
        <w:spacing w:after="40" w:before="40"/>
      </w:pPr>
      <w:r>
        <w:rPr>
          <w:rFonts w:ascii="Arial" w:cs="Arial" w:eastAsia="Arial" w:hAnsi="Arial"/>
          <w:color w:val="1A202C"/>
          <w:sz w:val="21"/>
          <w:szCs w:val="21"/>
        </w:rPr>
        <w:t xml:space="preserve">Engineered grouped channel display — thresholds grouped by channel per mapping row, one card per mapping group</w:t>
      </w:r>
    </w:p>
    <w:p>
      <w:pPr>
        <w:spacing w:after="0" w:before="100"/>
      </w:pPr>
    </w:p>
    <w:p>
      <w:pPr>
        <w:pBdr>
          <w:bottom w:val="single" w:color="D8DEE6" w:sz="4" w:space="1"/>
        </w:pBdr>
        <w:spacing w:after="80" w:before="80"/>
      </w:pPr>
    </w:p>
    <w:p>
      <w:pPr>
        <w:spacing w:after="0" w:before="60"/>
      </w:pPr>
    </w:p>
    <w:p>
      <w:pPr>
        <w:pStyle w:val="Heading2"/>
        <w:spacing w:after="80" w:before="280"/>
      </w:pPr>
      <w:r>
        <w:rPr>
          <w:rFonts w:ascii="Arial" w:cs="Arial" w:eastAsia="Arial" w:hAnsi="Arial"/>
          <w:b/>
          <w:bCs/>
          <w:color w:val="0B7A75"/>
          <w:sz w:val="28"/>
          <w:szCs w:val="28"/>
        </w:rPr>
        <w:t xml:space="preserve">6.3 Threshold Configurator — Administrative Surface</w:t>
      </w:r>
    </w:p>
    <w:p>
      <w:pPr>
        <w:spacing w:after="60" w:before="60"/>
      </w:pPr>
      <w:r>
        <w:rPr>
          <w:rFonts w:ascii="Arial" w:cs="Arial" w:eastAsia="Arial" w:hAnsi="Arial"/>
          <w:color w:val="1A202C"/>
          <w:sz w:val="22"/>
          <w:szCs w:val="22"/>
        </w:rPr>
        <w:t xml:space="preserve">The Threshold Configurator provides a dedicated administrative interface for managing the underlying threshold data model independently of the Business OS presentation layer. It surfaces 6 data entities (business_rules, business_rule_categorical_mapping, thresholds, user_domain_access, threshold_versions, threshold_dependencies) with inline management capabilities.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Entity</w:t>
            </w:r>
          </w:p>
        </w:tc>
        <w:tc>
          <w:tcPr>
            <w:tcW w:type="dxa" w:w="16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Record Count</w:t>
            </w:r>
          </w:p>
        </w:tc>
        <w:tc>
          <w:tcPr>
            <w:tcW w:type="dxa" w:w="45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Admin Capability</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business_rules</w:t>
            </w:r>
          </w:p>
        </w:tc>
        <w:tc>
          <w:tcPr>
            <w:tcW w:type="dxa" w:w="1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16</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Rule definition management</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business_rule_categorical_mapping</w:t>
            </w:r>
          </w:p>
        </w:tc>
        <w:tc>
          <w:tcPr>
            <w:tcW w:type="dxa" w:w="1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69</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Category-to-rule relationship mapping</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thresholds</w:t>
            </w:r>
          </w:p>
        </w:tc>
        <w:tc>
          <w:tcPr>
            <w:tcW w:type="dxa" w:w="1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80</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value and metadata administration</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user_domain_access</w:t>
            </w:r>
          </w:p>
        </w:tc>
        <w:tc>
          <w:tcPr>
            <w:tcW w:type="dxa" w:w="1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0</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Per-user domain scope assignment</w:t>
            </w:r>
          </w:p>
        </w:tc>
      </w:tr>
      <w:tr>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threshold_versions</w:t>
            </w:r>
          </w:p>
        </w:tc>
        <w:tc>
          <w:tcPr>
            <w:tcW w:type="dxa" w:w="16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3</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Version history and rollback support</w:t>
            </w:r>
          </w:p>
        </w:tc>
      </w:tr>
      <w:tr>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threshold_dependencies</w:t>
            </w:r>
          </w:p>
        </w:tc>
        <w:tc>
          <w:tcPr>
            <w:tcW w:type="dxa" w:w="16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0</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Cross-threshold dependency graph</w:t>
            </w:r>
          </w:p>
        </w:tc>
      </w:tr>
    </w:tbl>
    <w:p>
      <w:pPr>
        <w:spacing w:after="0" w:before="60"/>
      </w:pPr>
    </w:p>
    <w:p>
      <w:pPr>
        <w:pStyle w:val="Heading3"/>
        <w:spacing w:after="60" w:before="200"/>
      </w:pPr>
      <w:r>
        <w:rPr>
          <w:rFonts w:ascii="Arial" w:cs="Arial" w:eastAsia="Arial" w:hAnsi="Arial"/>
          <w:b/>
          <w:bCs/>
          <w:color w:val="1A8F7F"/>
          <w:sz w:val="24"/>
          <w:szCs w:val="24"/>
        </w:rPr>
        <w:t xml:space="preserve">Key Engineering Contributions</w:t>
      </w:r>
    </w:p>
    <w:p>
      <w:pPr>
        <w:pStyle w:val="ListParagraph"/>
        <w:numPr>
          <w:ilvl w:val="0"/>
          <w:numId w:val="2"/>
        </w:numPr>
        <w:spacing w:after="40" w:before="40"/>
      </w:pPr>
      <w:r>
        <w:rPr>
          <w:rFonts w:ascii="Arial" w:cs="Arial" w:eastAsia="Arial" w:hAnsi="Arial"/>
          <w:color w:val="1A202C"/>
          <w:sz w:val="21"/>
          <w:szCs w:val="21"/>
        </w:rPr>
        <w:t xml:space="preserve">Implemented tc-bg animated background layer with mesh, orb, and grid sublayers</w:t>
      </w:r>
    </w:p>
    <w:p>
      <w:pPr>
        <w:pStyle w:val="ListParagraph"/>
        <w:numPr>
          <w:ilvl w:val="0"/>
          <w:numId w:val="2"/>
        </w:numPr>
        <w:spacing w:after="40" w:before="40"/>
      </w:pPr>
      <w:r>
        <w:rPr>
          <w:rFonts w:ascii="Arial" w:cs="Arial" w:eastAsia="Arial" w:hAnsi="Arial"/>
          <w:color w:val="1A202C"/>
          <w:sz w:val="21"/>
          <w:szCs w:val="21"/>
        </w:rPr>
        <w:t xml:space="preserve">Engineered glass toolbar and table surfaces with tc-in staggered entrance transitions</w:t>
      </w:r>
    </w:p>
    <w:p>
      <w:pPr>
        <w:pStyle w:val="ListParagraph"/>
        <w:numPr>
          <w:ilvl w:val="0"/>
          <w:numId w:val="2"/>
        </w:numPr>
        <w:spacing w:after="40" w:before="40"/>
      </w:pPr>
      <w:r>
        <w:rPr>
          <w:rFonts w:ascii="Arial" w:cs="Arial" w:eastAsia="Arial" w:hAnsi="Arial"/>
          <w:color w:val="1A202C"/>
          <w:sz w:val="21"/>
          <w:szCs w:val="21"/>
        </w:rPr>
        <w:t xml:space="preserve">Implemented Domain Access administration panel — user account selection, domain assignment, and catalog-driven domain reload</w:t>
      </w:r>
    </w:p>
    <w:p>
      <w:pPr>
        <w:pStyle w:val="ListParagraph"/>
        <w:numPr>
          <w:ilvl w:val="0"/>
          <w:numId w:val="2"/>
        </w:numPr>
        <w:spacing w:after="40" w:before="40"/>
      </w:pPr>
      <w:r>
        <w:rPr>
          <w:rFonts w:ascii="Arial" w:cs="Arial" w:eastAsia="Arial" w:hAnsi="Arial"/>
          <w:color w:val="1A202C"/>
          <w:sz w:val="21"/>
          <w:szCs w:val="21"/>
        </w:rPr>
        <w:t xml:space="preserve">Implemented Rename Domain utility — bulk threshold and user assignment remapping on domain rename</w:t>
      </w:r>
    </w:p>
    <w:p>
      <w:pPr>
        <w:pStyle w:val="ListParagraph"/>
        <w:numPr>
          <w:ilvl w:val="0"/>
          <w:numId w:val="2"/>
        </w:numPr>
        <w:spacing w:after="40" w:before="40"/>
      </w:pPr>
      <w:r>
        <w:rPr>
          <w:rFonts w:ascii="Arial" w:cs="Arial" w:eastAsia="Arial" w:hAnsi="Arial"/>
          <w:color w:val="1A202C"/>
          <w:sz w:val="21"/>
          <w:szCs w:val="21"/>
        </w:rPr>
        <w:t xml:space="preserve">Engineered filter controls: domain selector, status filter, and direction filter across 80 threshold records</w:t>
      </w:r>
    </w:p>
    <w:p>
      <w:pPr>
        <w:pStyle w:val="ListParagraph"/>
        <w:numPr>
          <w:ilvl w:val="0"/>
          <w:numId w:val="2"/>
        </w:numPr>
        <w:spacing w:after="40" w:before="40"/>
      </w:pPr>
      <w:r>
        <w:rPr>
          <w:rFonts w:ascii="Arial" w:cs="Arial" w:eastAsia="Arial" w:hAnsi="Arial"/>
          <w:color w:val="1A202C"/>
          <w:sz w:val="21"/>
          <w:szCs w:val="21"/>
        </w:rPr>
        <w:t xml:space="preserve">Integrated reduced-motion accessibility compliance across all animated subsystems</w:t>
      </w:r>
    </w:p>
    <w:p>
      <w:pPr>
        <w:spacing w:after="0" w:before="100"/>
      </w:pPr>
    </w:p>
    <w:p>
      <w:pPr>
        <w:pBdr>
          <w:bottom w:val="single" w:color="D8DEE6" w:sz="4" w:space="1"/>
        </w:pBdr>
        <w:spacing w:after="80" w:before="80"/>
      </w:pPr>
    </w:p>
    <w:p>
      <w:pPr>
        <w:spacing w:after="0" w:before="60"/>
      </w:pPr>
    </w:p>
    <w:p>
      <w:pPr>
        <w:pStyle w:val="Heading2"/>
        <w:spacing w:after="80" w:before="280"/>
      </w:pPr>
      <w:r>
        <w:rPr>
          <w:rFonts w:ascii="Arial" w:cs="Arial" w:eastAsia="Arial" w:hAnsi="Arial"/>
          <w:b/>
          <w:bCs/>
          <w:color w:val="0B7A75"/>
          <w:sz w:val="28"/>
          <w:szCs w:val="28"/>
        </w:rPr>
        <w:t xml:space="preserve">6.4 Central File Library — File Management System</w:t>
      </w:r>
    </w:p>
    <w:p>
      <w:pPr>
        <w:spacing w:after="60" w:before="60"/>
      </w:pPr>
      <w:r>
        <w:rPr>
          <w:rFonts w:ascii="Arial" w:cs="Arial" w:eastAsia="Arial" w:hAnsi="Arial"/>
          <w:color w:val="1A202C"/>
          <w:sz w:val="22"/>
          <w:szCs w:val="22"/>
        </w:rPr>
        <w:t xml:space="preserve">The Central File Library (FileManager.vue) delivers a full-featured hierarchical file management system. It supports folder navigation, file upload, ZIP archive download, and catalog-path alignment — all surfaced through a dual-panel layout comprising a collapsible library hierarchy sidebar and a file content panel.</w:t>
      </w:r>
    </w:p>
    <w:p>
      <w:pPr>
        <w:spacing w:after="0" w:before="60"/>
      </w:pPr>
    </w:p>
    <w:p>
      <w:pPr>
        <w:pStyle w:val="Heading3"/>
        <w:spacing w:after="60" w:before="200"/>
      </w:pPr>
      <w:r>
        <w:rPr>
          <w:rFonts w:ascii="Arial" w:cs="Arial" w:eastAsia="Arial" w:hAnsi="Arial"/>
          <w:b/>
          <w:bCs/>
          <w:color w:val="1A8F7F"/>
          <w:sz w:val="24"/>
          <w:szCs w:val="24"/>
        </w:rPr>
        <w:t xml:space="preserve">Key Engineering Contributions</w:t>
      </w:r>
    </w:p>
    <w:p>
      <w:pPr>
        <w:pStyle w:val="ListParagraph"/>
        <w:numPr>
          <w:ilvl w:val="0"/>
          <w:numId w:val="2"/>
        </w:numPr>
        <w:spacing w:after="40" w:before="40"/>
      </w:pPr>
      <w:r>
        <w:rPr>
          <w:rFonts w:ascii="Arial" w:cs="Arial" w:eastAsia="Arial" w:hAnsi="Arial"/>
          <w:color w:val="1A202C"/>
          <w:sz w:val="21"/>
          <w:szCs w:val="21"/>
        </w:rPr>
        <w:t xml:space="preserve">Implemented fm-bg animated background with mesh gradient, three animated orbs, and grid overlay</w:t>
      </w:r>
    </w:p>
    <w:p>
      <w:pPr>
        <w:pStyle w:val="ListParagraph"/>
        <w:numPr>
          <w:ilvl w:val="0"/>
          <w:numId w:val="2"/>
        </w:numPr>
        <w:spacing w:after="40" w:before="40"/>
      </w:pPr>
      <w:r>
        <w:rPr>
          <w:rFonts w:ascii="Arial" w:cs="Arial" w:eastAsia="Arial" w:hAnsi="Arial"/>
          <w:color w:val="1A202C"/>
          <w:sz w:val="21"/>
          <w:szCs w:val="21"/>
        </w:rPr>
        <w:t xml:space="preserve">Engineered fm-in entrance stagger across hero, layout container, sidebar, and main content panel</w:t>
      </w:r>
    </w:p>
    <w:p>
      <w:pPr>
        <w:pStyle w:val="ListParagraph"/>
        <w:numPr>
          <w:ilvl w:val="0"/>
          <w:numId w:val="2"/>
        </w:numPr>
        <w:spacing w:after="40" w:before="40"/>
      </w:pPr>
      <w:r>
        <w:rPr>
          <w:rFonts w:ascii="Arial" w:cs="Arial" w:eastAsia="Arial" w:hAnsi="Arial"/>
          <w:color w:val="1A202C"/>
          <w:sz w:val="21"/>
          <w:szCs w:val="21"/>
        </w:rPr>
        <w:t xml:space="preserve">Orchestrated glassmorphic file metrics toolbar and actionable file content table with per-file Open, Download, Delete, and More actions</w:t>
      </w:r>
    </w:p>
    <w:p>
      <w:pPr>
        <w:pStyle w:val="ListParagraph"/>
        <w:numPr>
          <w:ilvl w:val="0"/>
          <w:numId w:val="2"/>
        </w:numPr>
        <w:spacing w:after="40" w:before="40"/>
      </w:pPr>
      <w:r>
        <w:rPr>
          <w:rFonts w:ascii="Arial" w:cs="Arial" w:eastAsia="Arial" w:hAnsi="Arial"/>
          <w:color w:val="1A202C"/>
          <w:sz w:val="21"/>
          <w:szCs w:val="21"/>
        </w:rPr>
        <w:t xml:space="preserve">Implemented hierarchical folder tree navigation with expand/collapse state management</w:t>
      </w:r>
    </w:p>
    <w:p>
      <w:pPr>
        <w:pStyle w:val="ListParagraph"/>
        <w:numPr>
          <w:ilvl w:val="0"/>
          <w:numId w:val="2"/>
        </w:numPr>
        <w:spacing w:after="40" w:before="40"/>
      </w:pPr>
      <w:r>
        <w:rPr>
          <w:rFonts w:ascii="Arial" w:cs="Arial" w:eastAsia="Arial" w:hAnsi="Arial"/>
          <w:color w:val="1A202C"/>
          <w:sz w:val="21"/>
          <w:szCs w:val="21"/>
        </w:rPr>
        <w:t xml:space="preserve">Engineered breadcrumb navigation (Root / Skills / Data_vis_Skills) for contextual path awareness</w:t>
      </w:r>
    </w:p>
    <w:p>
      <w:pPr>
        <w:pStyle w:val="ListParagraph"/>
        <w:numPr>
          <w:ilvl w:val="0"/>
          <w:numId w:val="2"/>
        </w:numPr>
        <w:spacing w:after="40" w:before="40"/>
      </w:pPr>
      <w:r>
        <w:rPr>
          <w:rFonts w:ascii="Arial" w:cs="Arial" w:eastAsia="Arial" w:hAnsi="Arial"/>
          <w:color w:val="1A202C"/>
          <w:sz w:val="21"/>
          <w:szCs w:val="21"/>
        </w:rPr>
        <w:t xml:space="preserve">Integrated batch ZIP download capability scoped to the active folder's contents</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7. UI/UX Engineering Standards</w:t>
      </w:r>
    </w:p>
    <w:p>
      <w:pPr>
        <w:spacing w:after="60" w:before="60"/>
      </w:pPr>
      <w:r>
        <w:rPr>
          <w:rFonts w:ascii="Arial" w:cs="Arial" w:eastAsia="Arial" w:hAnsi="Arial"/>
          <w:color w:val="1A202C"/>
          <w:sz w:val="22"/>
          <w:szCs w:val="22"/>
        </w:rPr>
        <w:t xml:space="preserve">The UI/UX engineering standards governing the Ledsone Centralizer Operations Hub were codified during the May 2026 Account UI Polish initiative. These standards define a uniform visual language and interaction model applied consistently across all four primary page modules.</w:t>
      </w:r>
    </w:p>
    <w:p>
      <w:pPr>
        <w:spacing w:after="0" w:before="80"/>
      </w:pPr>
    </w:p>
    <w:p>
      <w:pPr>
        <w:pStyle w:val="Heading2"/>
        <w:spacing w:after="80" w:before="280"/>
      </w:pPr>
      <w:r>
        <w:rPr>
          <w:rFonts w:ascii="Arial" w:cs="Arial" w:eastAsia="Arial" w:hAnsi="Arial"/>
          <w:b/>
          <w:bCs/>
          <w:color w:val="0B7A75"/>
          <w:sz w:val="28"/>
          <w:szCs w:val="28"/>
        </w:rPr>
        <w:t xml:space="preserve">7.1 Glass-Morphism System</w:t>
      </w:r>
    </w:p>
    <w:p>
      <w:pPr>
        <w:spacing w:after="60" w:before="60"/>
      </w:pPr>
      <w:r>
        <w:rPr>
          <w:rFonts w:ascii="Arial" w:cs="Arial" w:eastAsia="Arial" w:hAnsi="Arial"/>
          <w:color w:val="1A202C"/>
          <w:sz w:val="22"/>
          <w:szCs w:val="22"/>
        </w:rPr>
        <w:t xml:space="preserve">Glass-morphism surfaces were implemented using a standardised CSS pattern: rgba(255,255,255, 0.88–0.94) fill combined with backdrop-filter: blur(). This produces semi-transparent floating panel aesthetics appropriate for an ambient light-theme workspace environment. The opacity range is intentionally varied (0.88 for content panels, 0.94 for topbars and toolbars) to establish a perceptual depth hierarchy.</w:t>
      </w:r>
    </w:p>
    <w:p>
      <w:pPr>
        <w:spacing w:after="0" w:before="80"/>
      </w:pPr>
    </w:p>
    <w:p>
      <w:pPr>
        <w:pStyle w:val="Heading2"/>
        <w:spacing w:after="80" w:before="280"/>
      </w:pPr>
      <w:r>
        <w:rPr>
          <w:rFonts w:ascii="Arial" w:cs="Arial" w:eastAsia="Arial" w:hAnsi="Arial"/>
          <w:b/>
          <w:bCs/>
          <w:color w:val="0B7A75"/>
          <w:sz w:val="28"/>
          <w:szCs w:val="28"/>
        </w:rPr>
        <w:t xml:space="preserve">7.2 Animation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Animation Property</w:t>
            </w:r>
          </w:p>
        </w:tc>
        <w:tc>
          <w:tcPr>
            <w:tcW w:type="dxa" w:w="63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Entrance Class</w:t>
            </w:r>
          </w:p>
        </w:tc>
        <w:tc>
          <w:tcPr>
            <w:tcW w:type="dxa" w:w="6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*-in — applied to all entering elements</w:t>
            </w:r>
          </w:p>
        </w:tc>
      </w:tr>
      <w:tr>
        <w:tc>
          <w:tcPr>
            <w:tcW w:type="dxa" w:w="3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Delay Variable</w:t>
            </w:r>
          </w:p>
        </w:tc>
        <w:tc>
          <w:tcPr>
            <w:tcW w:type="dxa" w:w="63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--*-delay CSS custom property, staggered 0.05s–0.3s per element</w:t>
            </w:r>
          </w:p>
        </w:tc>
      </w:tr>
      <w:tr>
        <w:tc>
          <w:tcPr>
            <w:tcW w:type="dxa" w:w="3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Rise Keyframe</w:t>
            </w:r>
          </w:p>
        </w:tc>
        <w:tc>
          <w:tcPr>
            <w:tcW w:type="dxa" w:w="6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translateY(18px) → translateY(0), duration: 0.75s, easing: ease-out</w:t>
            </w:r>
          </w:p>
        </w:tc>
      </w:tr>
      <w:tr>
        <w:tc>
          <w:tcPr>
            <w:tcW w:type="dxa" w:w="3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Reduced Motion</w:t>
            </w:r>
          </w:p>
        </w:tc>
        <w:tc>
          <w:tcPr>
            <w:tcW w:type="dxa" w:w="63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@media (prefers-reduced-motion: reduce) disables all keyframe animations</w:t>
            </w:r>
          </w:p>
        </w:tc>
      </w:tr>
      <w:tr>
        <w:tc>
          <w:tcPr>
            <w:tcW w:type="dxa" w:w="3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Background Orbs</w:t>
            </w:r>
          </w:p>
        </w:tc>
        <w:tc>
          <w:tcPr>
            <w:tcW w:type="dxa" w:w="63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3 animated gradient orbs per page, positioned at varying viewport percentages</w:t>
            </w:r>
          </w:p>
        </w:tc>
      </w:tr>
    </w:tbl>
    <w:p>
      <w:pPr>
        <w:spacing w:after="0" w:before="80"/>
      </w:pPr>
    </w:p>
    <w:p>
      <w:pPr>
        <w:pStyle w:val="Heading2"/>
        <w:spacing w:after="80" w:before="280"/>
      </w:pPr>
      <w:r>
        <w:rPr>
          <w:rFonts w:ascii="Arial" w:cs="Arial" w:eastAsia="Arial" w:hAnsi="Arial"/>
          <w:b/>
          <w:bCs/>
          <w:color w:val="0B7A75"/>
          <w:sz w:val="28"/>
          <w:szCs w:val="28"/>
        </w:rPr>
        <w:t xml:space="preserve">7.3 Engineering Conventions</w:t>
      </w:r>
    </w:p>
    <w:p>
      <w:pPr>
        <w:pStyle w:val="ListParagraph"/>
        <w:numPr>
          <w:ilvl w:val="0"/>
          <w:numId w:val="2"/>
        </w:numPr>
        <w:spacing w:after="40" w:before="40"/>
      </w:pPr>
      <w:r>
        <w:rPr>
          <w:rFonts w:ascii="Arial" w:cs="Arial" w:eastAsia="Arial" w:hAnsi="Arial"/>
          <w:color w:val="1A202C"/>
          <w:sz w:val="21"/>
          <w:szCs w:val="21"/>
        </w:rPr>
        <w:t xml:space="preserve">Only standard HTML elements are used in Vue templates — no unregistered custom elements (motion, etc.)</w:t>
      </w:r>
    </w:p>
    <w:p>
      <w:pPr>
        <w:pStyle w:val="ListParagraph"/>
        <w:numPr>
          <w:ilvl w:val="0"/>
          <w:numId w:val="2"/>
        </w:numPr>
        <w:spacing w:after="40" w:before="40"/>
      </w:pPr>
      <w:r>
        <w:rPr>
          <w:rFonts w:ascii="Arial" w:cs="Arial" w:eastAsia="Arial" w:hAnsi="Arial"/>
          <w:color w:val="1A202C"/>
          <w:sz w:val="21"/>
          <w:szCs w:val="21"/>
        </w:rPr>
        <w:t xml:space="preserve">Invalid template tags are strictly prohibited; all template syntax conforms to Vue 2 compiler requirements</w:t>
      </w:r>
    </w:p>
    <w:p>
      <w:pPr>
        <w:pStyle w:val="ListParagraph"/>
        <w:numPr>
          <w:ilvl w:val="0"/>
          <w:numId w:val="2"/>
        </w:numPr>
        <w:spacing w:after="40" w:before="40"/>
      </w:pPr>
      <w:r>
        <w:rPr>
          <w:rFonts w:ascii="Arial" w:cs="Arial" w:eastAsia="Arial" w:hAnsi="Arial"/>
          <w:color w:val="1A202C"/>
          <w:sz w:val="21"/>
          <w:szCs w:val="21"/>
        </w:rPr>
        <w:t xml:space="preserve">CSS custom properties (CSS variables) are the mandatory mechanism for stagger delay parameterisation</w:t>
      </w:r>
    </w:p>
    <w:p>
      <w:pPr>
        <w:pStyle w:val="ListParagraph"/>
        <w:numPr>
          <w:ilvl w:val="0"/>
          <w:numId w:val="2"/>
        </w:numPr>
        <w:spacing w:after="40" w:before="40"/>
      </w:pPr>
      <w:r>
        <w:rPr>
          <w:rFonts w:ascii="Arial" w:cs="Arial" w:eastAsia="Arial" w:hAnsi="Arial"/>
          <w:color w:val="1A202C"/>
          <w:sz w:val="21"/>
          <w:szCs w:val="21"/>
        </w:rPr>
        <w:t xml:space="preserve">Animation timing curves are standardised at ease-out to produce natural deceleration on entrance</w:t>
      </w:r>
    </w:p>
    <w:p>
      <w:pPr>
        <w:pStyle w:val="ListParagraph"/>
        <w:numPr>
          <w:ilvl w:val="0"/>
          <w:numId w:val="2"/>
        </w:numPr>
        <w:spacing w:after="40" w:before="40"/>
      </w:pPr>
      <w:r>
        <w:rPr>
          <w:rFonts w:ascii="Arial" w:cs="Arial" w:eastAsia="Arial" w:hAnsi="Arial"/>
          <w:color w:val="1A202C"/>
          <w:sz w:val="21"/>
          <w:szCs w:val="21"/>
        </w:rPr>
        <w:t xml:space="preserve">All interactive elements maintain WCAG-compatible contrast ratios within the light-theme palette</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8. Engineering Challenges Solved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Challenge</w:t>
            </w:r>
          </w:p>
        </w:tc>
        <w:tc>
          <w:tcPr>
            <w:tcW w:type="dxa" w:w="40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w:t>
            </w:r>
          </w:p>
        </w:tc>
        <w:tc>
          <w:tcPr>
            <w:tcW w:type="dxa" w:w="31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Full-bleed layout integration across multiple routes</w:t>
            </w:r>
          </w:p>
        </w:tc>
        <w:tc>
          <w:tcPr>
            <w:tcW w:type="dxa" w:w="4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Extended isFullBleedMain() in App.vue to cover Dashboard, ThresholdConfigurator, OilConfigurator, and FileManager routes simultaneously</w:t>
            </w:r>
          </w:p>
        </w:tc>
        <w:tc>
          <w:tcPr>
            <w:tcW w:type="dxa" w:w="3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All four modules achieved consistent borderless canvas composition</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Per-module CSS namespace collision prevention</w:t>
            </w:r>
          </w:p>
        </w:tc>
        <w:tc>
          <w:tcPr>
            <w:tcW w:type="dxa" w:w="4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Enforced strict module-prefix naming conventions (dashboard-bg, fm-bg, tc-bg, oil-bg) with no shared classes across page components</w:t>
            </w:r>
          </w:p>
        </w:tc>
        <w:tc>
          <w:tcPr>
            <w:tcW w:type="dxa" w:w="3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Zero cross-module style leakage in production builds</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Header visual regression during design refresh</w:t>
            </w:r>
          </w:p>
        </w:tc>
        <w:tc>
          <w:tcPr>
            <w:tcW w:type="dxa" w:w="4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Removed outer border and accent stripe from .nav-logo; restored soft mint gradient and sheen animation — preserving brand identity while aligning with ambient design system</w:t>
            </w:r>
          </w:p>
        </w:tc>
        <w:tc>
          <w:tcPr>
            <w:tcW w:type="dxa" w:w="3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Navigation chrome cohesively integrates with new light-theme aesthetic</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OIL v5 domain-to-threshold relationship complexity</w:t>
            </w:r>
          </w:p>
        </w:tc>
        <w:tc>
          <w:tcPr>
            <w:tcW w:type="dxa" w:w="4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Architected threshold card grouping by channel-per-mapping-row, resolving mapping_id → categorical_mapping and rule_id → business_rules joins within the frontend rendering layer</w:t>
            </w:r>
          </w:p>
        </w:tc>
        <w:tc>
          <w:tcPr>
            <w:tcW w:type="dxa" w:w="3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Business OS Configurator accurately surfaces 80 thresholds across 8 domains without data model ambiguity</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decimal precision and diff preview</w:t>
            </w:r>
          </w:p>
        </w:tc>
        <w:tc>
          <w:tcPr>
            <w:tcW w:type="dxa" w:w="4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Engineered compact admin UI with precision-controlled input fields and file replace diff preview capability</w:t>
            </w:r>
          </w:p>
        </w:tc>
        <w:tc>
          <w:tcPr>
            <w:tcW w:type="dxa" w:w="3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editing workflow accuracy improved; visual diff reduces unintentional overwrites</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Animated background performance</w:t>
            </w:r>
          </w:p>
        </w:tc>
        <w:tc>
          <w:tcPr>
            <w:tcW w:type="dxa" w:w="4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Implemented reduced-motion media query override for all entrance and background animations, ensuring accessibility compliance without sacrificing visual richness for standard displays</w:t>
            </w:r>
          </w:p>
        </w:tc>
        <w:tc>
          <w:tcPr>
            <w:tcW w:type="dxa" w:w="3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WCAG animation accessibility requirements met across all modules</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9. AI-Assisted Development Workflow</w:t>
      </w:r>
    </w:p>
    <w:p>
      <w:pPr>
        <w:spacing w:after="60" w:before="60"/>
      </w:pPr>
      <w:r>
        <w:rPr>
          <w:rFonts w:ascii="Arial" w:cs="Arial" w:eastAsia="Arial" w:hAnsi="Arial"/>
          <w:color w:val="1A202C"/>
          <w:sz w:val="22"/>
          <w:szCs w:val="22"/>
        </w:rPr>
        <w:t xml:space="preserve">The engineering workflow for Project Sentinel integrates AI-assisted development practices through a structured agent-maintained engineering log. This approach enables consistent context propagation across development sessions, eliminates engineering decision amnesia, and enforces rigorous activity traceability.</w:t>
      </w:r>
    </w:p>
    <w:p>
      <w:pPr>
        <w:spacing w:after="0" w:before="80"/>
      </w:pPr>
    </w:p>
    <w:p>
      <w:pPr>
        <w:pStyle w:val="Heading2"/>
        <w:spacing w:after="80" w:before="280"/>
      </w:pPr>
      <w:r>
        <w:rPr>
          <w:rFonts w:ascii="Arial" w:cs="Arial" w:eastAsia="Arial" w:hAnsi="Arial"/>
          <w:b/>
          <w:bCs/>
          <w:color w:val="0B7A75"/>
          <w:sz w:val="28"/>
          <w:szCs w:val="28"/>
        </w:rPr>
        <w:t xml:space="preserve">9.1 Engineering Log Protocol</w:t>
      </w:r>
    </w:p>
    <w:p>
      <w:pPr>
        <w:spacing w:after="60" w:before="60"/>
      </w:pPr>
      <w:r>
        <w:rPr>
          <w:rFonts w:ascii="Arial" w:cs="Arial" w:eastAsia="Arial" w:hAnsi="Arial"/>
          <w:color w:val="1A202C"/>
          <w:sz w:val="22"/>
          <w:szCs w:val="22"/>
        </w:rPr>
        <w:t xml:space="preserve">A living engineering activity log (docs/skill.md) was implemented as the primary mechanism for agent context persistence. The protocol mandates the following workflow at every engineering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3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56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1</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Read docs/skill.md at session start</w:t>
            </w:r>
          </w:p>
        </w:tc>
        <w:tc>
          <w:tcPr>
            <w:tcW w:type="dxa" w:w="5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Load project context, avoid contradicting recent decisions</w:t>
            </w:r>
          </w:p>
        </w:tc>
      </w:tr>
      <w:tr>
        <w:tc>
          <w:tcPr>
            <w:tcW w:type="dxa" w:w="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Complete engineering work</w:t>
            </w:r>
          </w:p>
        </w:tc>
        <w:tc>
          <w:tcPr>
            <w:tcW w:type="dxa" w:w="56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Feature, fix, refactor, UI, API, DB, config, or docs change</w:t>
            </w:r>
          </w:p>
        </w:tc>
      </w:tr>
      <w:tr>
        <w:tc>
          <w:tcPr>
            <w:tcW w:type="dxa" w:w="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3</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Append Activity Log entry (newest-first)</w:t>
            </w:r>
          </w:p>
        </w:tc>
        <w:tc>
          <w:tcPr>
            <w:tcW w:type="dxa" w:w="5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Maintain chronological traceability of all changes</w:t>
            </w:r>
          </w:p>
        </w:tc>
      </w:tr>
      <w:tr>
        <w:tc>
          <w:tcPr>
            <w:tcW w:type="dxa" w:w="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4</w:t>
            </w:r>
          </w:p>
        </w:tc>
        <w:tc>
          <w:tcPr>
            <w:tcW w:type="dxa" w:w="3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Update Open/In-Progress and Conventions sections</w:t>
            </w:r>
          </w:p>
        </w:tc>
        <w:tc>
          <w:tcPr>
            <w:tcW w:type="dxa" w:w="56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Reflect behavioral or pattern changes in living documentation</w:t>
            </w:r>
          </w:p>
        </w:tc>
      </w:tr>
      <w:tr>
        <w:tc>
          <w:tcPr>
            <w:tcW w:type="dxa" w:w="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5</w:t>
            </w:r>
          </w:p>
        </w:tc>
        <w:tc>
          <w:tcPr>
            <w:tcW w:type="dxa" w:w="3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Verify UI build: npm run development</w:t>
            </w:r>
          </w:p>
        </w:tc>
        <w:tc>
          <w:tcPr>
            <w:tcW w:type="dxa" w:w="56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Confirm no regressions introduced by frontend changes</w:t>
            </w:r>
          </w:p>
        </w:tc>
      </w:tr>
    </w:tbl>
    <w:p>
      <w:pPr>
        <w:spacing w:after="0" w:before="80"/>
      </w:pPr>
    </w:p>
    <w:p>
      <w:pPr>
        <w:pStyle w:val="Heading2"/>
        <w:spacing w:after="80" w:before="280"/>
      </w:pPr>
      <w:r>
        <w:rPr>
          <w:rFonts w:ascii="Arial" w:cs="Arial" w:eastAsia="Arial" w:hAnsi="Arial"/>
          <w:b/>
          <w:bCs/>
          <w:color w:val="0B7A75"/>
          <w:sz w:val="28"/>
          <w:szCs w:val="28"/>
        </w:rPr>
        <w:t xml:space="preserve">9.2 Agent Rule Integration</w:t>
      </w:r>
    </w:p>
    <w:p>
      <w:pPr>
        <w:spacing w:after="60" w:before="60"/>
      </w:pPr>
      <w:r>
        <w:rPr>
          <w:rFonts w:ascii="Arial" w:cs="Arial" w:eastAsia="Arial" w:hAnsi="Arial"/>
          <w:color w:val="1A202C"/>
          <w:sz w:val="22"/>
          <w:szCs w:val="22"/>
        </w:rPr>
        <w:t xml:space="preserve">A Cursor IDE agent rule was provisioned at .cursor/rules/engineering-activity-log.mdc to enforce the log protocol automatically across all AI-assisted sessions. This ensures that every agent-driven engineering session produces a traceable activity record without requiring manual developer intervention.</w:t>
      </w:r>
    </w:p>
    <w:p>
      <w:pPr>
        <w:spacing w:after="0" w:before="60"/>
      </w:pPr>
    </w:p>
    <w:p>
      <w:pPr>
        <w:pBdr>
          <w:left w:val="single" w:color="0B7A75" w:sz="12" w:space="6"/>
        </w:pBdr>
        <w:shd w:fill="E8F5F4" w:val="clear"/>
        <w:spacing w:after="100" w:before="100"/>
        <w:ind w:left="400"/>
      </w:pPr>
      <w:r>
        <w:rPr>
          <w:rFonts w:ascii="Arial" w:cs="Arial" w:eastAsia="Arial" w:hAnsi="Arial"/>
          <w:color w:val="4A5568"/>
          <w:sz w:val="21"/>
          <w:szCs w:val="21"/>
        </w:rPr>
        <w:t xml:space="preserve">The engineering log explicitly prohibits the storage of secrets, credentials, or full PII within activity entries. All sensitive references are replaced with path citations and ticket/PR identifiers.</w:t>
      </w:r>
    </w:p>
    <w:p>
      <w:pPr>
        <w:spacing w:after="0" w:before="100"/>
      </w:pPr>
    </w:p>
    <w:p>
      <w:pPr>
        <w:pStyle w:val="Heading2"/>
        <w:spacing w:after="80" w:before="280"/>
      </w:pPr>
      <w:r>
        <w:rPr>
          <w:rFonts w:ascii="Arial" w:cs="Arial" w:eastAsia="Arial" w:hAnsi="Arial"/>
          <w:b/>
          <w:bCs/>
          <w:color w:val="0B7A75"/>
          <w:sz w:val="28"/>
          <w:szCs w:val="28"/>
        </w:rPr>
        <w:t xml:space="preserve">9.3 Activity Log Summary</w:t>
      </w:r>
    </w:p>
    <w:p>
      <w:pPr>
        <w:spacing w:after="60" w:before="60"/>
      </w:pPr>
      <w:r>
        <w:rPr>
          <w:rFonts w:ascii="Arial" w:cs="Arial" w:eastAsia="Arial" w:hAnsi="Arial"/>
          <w:color w:val="1A202C"/>
          <w:sz w:val="22"/>
          <w:szCs w:val="22"/>
        </w:rPr>
        <w:t xml:space="preserve">The following table summarises the chronological engineering activity recorded across all sessions to date.</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400"/>
        <w:gridCol w:w="3800"/>
        <w:gridCol w:w="1160"/>
      </w:tblGrid>
      <w:tr>
        <w:trPr>
          <w:tblHeader/>
        </w:trPr>
        <w:tc>
          <w:tcPr>
            <w:tcW w:type="dxa" w:w="11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9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4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Area</w:t>
            </w:r>
          </w:p>
        </w:tc>
        <w:tc>
          <w:tcPr>
            <w:tcW w:type="dxa" w:w="38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Summary</w:t>
            </w:r>
          </w:p>
        </w:tc>
        <w:tc>
          <w:tcPr>
            <w:tcW w:type="dxa" w:w="11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docs</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docs</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Initialised engineering activity log and agent maintenance rule</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business-os</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Business OS: oil-bg animation, oil-in entrances, hero topbar, glass surfaces</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thresholds</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Configurator: tc-bg layer, tc-in stagger, glass toolbar/table, a11y</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file-library</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 Manager: fm-bg mesh/orbs/grid, fm-in hero/layout/sidebar/main, glass metrics</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Dashboard: light theme, animated mesh, glass cards, dash-in stagger</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Header: removed logo border/stripe; restored soft mint gradient and sheen</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2026-05-18</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config</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Full-bleed layout extended to Dashboard alongside all other modules</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agent</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2026-05-12</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fix</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thresholds</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 decimal fix, file replace diff preview, compact admin UI (commit 54bb479)</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team</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2026-05-12</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file-library</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Library counts, line rows, download button, hierarchy styling, animated logo (aee9695)</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team</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2026-05-12</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ui</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Full-width layout, centred nav, role-based file library access (commit 246432f)</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team</w:t>
            </w:r>
          </w:p>
        </w:tc>
      </w:tr>
      <w:tr>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w:t>
            </w:r>
          </w:p>
        </w:tc>
        <w:tc>
          <w:tcPr>
            <w:tcW w:type="dxa" w:w="9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feature</w:t>
            </w:r>
          </w:p>
        </w:tc>
        <w:tc>
          <w:tcPr>
            <w:tcW w:type="dxa" w:w="1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business-os</w:t>
            </w:r>
          </w:p>
        </w:tc>
        <w:tc>
          <w:tcPr>
            <w:tcW w:type="dxa" w:w="38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Business OS Configurator UI added (commit f79ee0d)</w:t>
            </w:r>
          </w:p>
        </w:tc>
        <w:tc>
          <w:tcPr>
            <w:tcW w:type="dxa" w:w="11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team</w:t>
            </w:r>
          </w:p>
        </w:tc>
      </w:tr>
      <w:tr>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w:t>
            </w:r>
          </w:p>
        </w:tc>
        <w:tc>
          <w:tcPr>
            <w:tcW w:type="dxa" w:w="9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feature</w:t>
            </w:r>
          </w:p>
        </w:tc>
        <w:tc>
          <w:tcPr>
            <w:tcW w:type="dxa" w:w="1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file-library</w:t>
            </w:r>
          </w:p>
        </w:tc>
        <w:tc>
          <w:tcPr>
            <w:tcW w:type="dxa" w:w="38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Central file library and Account UI refresh (commit dca4116)</w:t>
            </w:r>
          </w:p>
        </w:tc>
        <w:tc>
          <w:tcPr>
            <w:tcW w:type="dxa" w:w="11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team</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10. Scalability &amp; Maintainability</w:t>
      </w:r>
    </w:p>
    <w:p>
      <w:pPr>
        <w:spacing w:after="60" w:before="60"/>
      </w:pPr>
      <w:r>
        <w:rPr>
          <w:rFonts w:ascii="Arial" w:cs="Arial" w:eastAsia="Arial" w:hAnsi="Arial"/>
          <w:color w:val="1A202C"/>
          <w:sz w:val="22"/>
          <w:szCs w:val="22"/>
        </w:rPr>
        <w:t xml:space="preserve">The architectural decisions governing the Ledsone Centralizer Operations Hub were made with explicit consideration for long-term scalability and maintainability across team compositions and evolving business requirements.</w:t>
      </w:r>
    </w:p>
    <w:p>
      <w:pPr>
        <w:spacing w:after="0" w:before="80"/>
      </w:pPr>
    </w:p>
    <w:p>
      <w:pPr>
        <w:pStyle w:val="Heading2"/>
        <w:spacing w:after="80" w:before="280"/>
      </w:pPr>
      <w:r>
        <w:rPr>
          <w:rFonts w:ascii="Arial" w:cs="Arial" w:eastAsia="Arial" w:hAnsi="Arial"/>
          <w:b/>
          <w:bCs/>
          <w:color w:val="0B7A75"/>
          <w:sz w:val="28"/>
          <w:szCs w:val="28"/>
        </w:rPr>
        <w:t xml:space="preserve">10.1 Module Isolation</w:t>
      </w:r>
    </w:p>
    <w:p>
      <w:pPr>
        <w:spacing w:after="60" w:before="60"/>
      </w:pPr>
      <w:r>
        <w:rPr>
          <w:rFonts w:ascii="Arial" w:cs="Arial" w:eastAsia="Arial" w:hAnsi="Arial"/>
          <w:color w:val="1A202C"/>
          <w:sz w:val="22"/>
          <w:szCs w:val="22"/>
        </w:rPr>
        <w:t xml:space="preserve">Each functional module is encapsulated within its own Vue 2 single-file component (SFC), with scoped CSS architecture, independent route registration, and dedicated API integration surface. This isolation pattern ensures that changes to one module carry zero regression risk to adjacent modules.</w:t>
      </w:r>
    </w:p>
    <w:p>
      <w:pPr>
        <w:spacing w:after="0" w:before="80"/>
      </w:pPr>
    </w:p>
    <w:p>
      <w:pPr>
        <w:pStyle w:val="Heading2"/>
        <w:spacing w:after="80" w:before="280"/>
      </w:pPr>
      <w:r>
        <w:rPr>
          <w:rFonts w:ascii="Arial" w:cs="Arial" w:eastAsia="Arial" w:hAnsi="Arial"/>
          <w:b/>
          <w:bCs/>
          <w:color w:val="0B7A75"/>
          <w:sz w:val="28"/>
          <w:szCs w:val="28"/>
        </w:rPr>
        <w:t xml:space="preserve">10.2 Naming Convention Enforcement</w:t>
      </w:r>
    </w:p>
    <w:p>
      <w:pPr>
        <w:spacing w:after="60" w:before="60"/>
      </w:pPr>
      <w:r>
        <w:rPr>
          <w:rFonts w:ascii="Arial" w:cs="Arial" w:eastAsia="Arial" w:hAnsi="Arial"/>
          <w:color w:val="1A202C"/>
          <w:sz w:val="22"/>
          <w:szCs w:val="22"/>
        </w:rPr>
        <w:t xml:space="preserve">The UI class map and CSS namespace conventions are documented in the living engineering log as canonical standards. Any future engineering session — whether human or AI-assisted — is required to consult and adhere to these conventions prior to introducing new components or UI modifications.</w:t>
      </w:r>
    </w:p>
    <w:p>
      <w:pPr>
        <w:spacing w:after="0" w:before="80"/>
      </w:pPr>
    </w:p>
    <w:p>
      <w:pPr>
        <w:pStyle w:val="Heading2"/>
        <w:spacing w:after="80" w:before="280"/>
      </w:pPr>
      <w:r>
        <w:rPr>
          <w:rFonts w:ascii="Arial" w:cs="Arial" w:eastAsia="Arial" w:hAnsi="Arial"/>
          <w:b/>
          <w:bCs/>
          <w:color w:val="0B7A75"/>
          <w:sz w:val="28"/>
          <w:szCs w:val="28"/>
        </w:rPr>
        <w:t xml:space="preserve">10.3 Configuration-as-Code</w:t>
      </w:r>
    </w:p>
    <w:p>
      <w:pPr>
        <w:spacing w:after="60" w:before="60"/>
      </w:pPr>
      <w:r>
        <w:rPr>
          <w:rFonts w:ascii="Arial" w:cs="Arial" w:eastAsia="Arial" w:hAnsi="Arial"/>
          <w:color w:val="1A202C"/>
          <w:sz w:val="22"/>
          <w:szCs w:val="22"/>
        </w:rPr>
        <w:t xml:space="preserve">The YAML export architecture of the Business OS Configurator externalises OIL v5 threshold configuration as a version-controllable artifact (rules_registry.yaml). This enables configuration changes to be tracked in source control alongside code changes, establishing a unified audit trail across both engineering and operations domains.</w:t>
      </w:r>
    </w:p>
    <w:p>
      <w:pPr>
        <w:spacing w:after="0" w:before="80"/>
      </w:pPr>
    </w:p>
    <w:p>
      <w:pPr>
        <w:pStyle w:val="Heading2"/>
        <w:spacing w:after="80" w:before="280"/>
      </w:pPr>
      <w:r>
        <w:rPr>
          <w:rFonts w:ascii="Arial" w:cs="Arial" w:eastAsia="Arial" w:hAnsi="Arial"/>
          <w:b/>
          <w:bCs/>
          <w:color w:val="0B7A75"/>
          <w:sz w:val="28"/>
          <w:szCs w:val="28"/>
        </w:rPr>
        <w:t xml:space="preserve">10.4 Living Documentation</w:t>
      </w:r>
    </w:p>
    <w:p>
      <w:pPr>
        <w:spacing w:after="60" w:before="60"/>
      </w:pPr>
      <w:r>
        <w:rPr>
          <w:rFonts w:ascii="Arial" w:cs="Arial" w:eastAsia="Arial" w:hAnsi="Arial"/>
          <w:color w:val="1A202C"/>
          <w:sz w:val="22"/>
          <w:szCs w:val="22"/>
        </w:rPr>
        <w:t xml:space="preserve">The engineering log (docs/skill.md) functions as a living technical specification, continuously updated with architectural decisions, convention changes, and activity records. This eliminates the documentation debt that typically accumulates in fast-moving engineering projects.</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11. Performance Optimization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Optimization</w:t>
            </w:r>
          </w:p>
        </w:tc>
        <w:tc>
          <w:tcPr>
            <w:tcW w:type="dxa" w:w="34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Technique</w:t>
            </w:r>
          </w:p>
        </w:tc>
        <w:tc>
          <w:tcPr>
            <w:tcW w:type="dxa" w:w="39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Benefit</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CSS Animation Performance</w:t>
            </w:r>
          </w:p>
        </w:tc>
        <w:tc>
          <w:tcPr>
            <w:tcW w:type="dxa" w:w="3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CSS transform (translateY) and opacity used exclusively for entrance animations — no layout-triggering properties</w:t>
            </w:r>
          </w:p>
        </w:tc>
        <w:tc>
          <w:tcPr>
            <w:tcW w:type="dxa" w:w="39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Animations execute on the compositor thread, eliminating main thread jank</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Reduced Motion Compliance</w:t>
            </w:r>
          </w:p>
        </w:tc>
        <w:tc>
          <w:tcPr>
            <w:tcW w:type="dxa" w:w="3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@media (prefers-reduced-motion: reduce) disables all transitions and keyframes</w:t>
            </w:r>
          </w:p>
        </w:tc>
        <w:tc>
          <w:tcPr>
            <w:tcW w:type="dxa" w:w="39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Eliminates unnecessary GPU work on accessibility-configured devices</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Component Scoped CSS</w:t>
            </w:r>
          </w:p>
        </w:tc>
        <w:tc>
          <w:tcPr>
            <w:tcW w:type="dxa" w:w="3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All component styles scoped via Vue 2 &lt;style scoped&gt; — no global cascade pollution</w:t>
            </w:r>
          </w:p>
        </w:tc>
        <w:tc>
          <w:tcPr>
            <w:tcW w:type="dxa" w:w="39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Reduces browser style recalculation cost and prevents unintended style inheritance</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Laravel Mix Production Build</w:t>
            </w:r>
          </w:p>
        </w:tc>
        <w:tc>
          <w:tcPr>
            <w:tcW w:type="dxa" w:w="3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npm run production enables minification, tree-shaking, and cache-busting via content hashing</w:t>
            </w:r>
          </w:p>
        </w:tc>
        <w:tc>
          <w:tcPr>
            <w:tcW w:type="dxa" w:w="39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Minimises JavaScript and CSS payload delivered to the client</w:t>
            </w:r>
          </w:p>
        </w:tc>
      </w:tr>
      <w:tr>
        <w:tc>
          <w:tcPr>
            <w:tcW w:type="dxa" w:w="20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Full-Bleed Layout Efficiency</w:t>
            </w:r>
          </w:p>
        </w:tc>
        <w:tc>
          <w:tcPr>
            <w:tcW w:type="dxa" w:w="34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isFullBleedMain() evaluated on route change, not on every render cycle</w:t>
            </w:r>
          </w:p>
        </w:tc>
        <w:tc>
          <w:tcPr>
            <w:tcW w:type="dxa" w:w="39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Avoids unnecessary DOM manipulation on per-render ticks</w:t>
            </w:r>
          </w:p>
        </w:tc>
      </w:tr>
      <w:tr>
        <w:tc>
          <w:tcPr>
            <w:tcW w:type="dxa" w:w="20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Glass Surface Rendering</w:t>
            </w:r>
          </w:p>
        </w:tc>
        <w:tc>
          <w:tcPr>
            <w:tcW w:type="dxa" w:w="34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backdrop-filter: blur() applied only to interactive panel surfaces, not to background layers</w:t>
            </w:r>
          </w:p>
        </w:tc>
        <w:tc>
          <w:tcPr>
            <w:tcW w:type="dxa" w:w="39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Constrains compositing cost to actionable UI regions</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12. Future Improvements</w:t>
      </w:r>
    </w:p>
    <w:p>
      <w:pPr>
        <w:spacing w:after="60" w:before="60"/>
      </w:pPr>
      <w:r>
        <w:rPr>
          <w:rFonts w:ascii="Arial" w:cs="Arial" w:eastAsia="Arial" w:hAnsi="Arial"/>
          <w:color w:val="1A202C"/>
          <w:sz w:val="22"/>
          <w:szCs w:val="22"/>
        </w:rPr>
        <w:t xml:space="preserve">The following improvement initiatives have been identified based on current architectural state, engineering log open items, and platform growth trajectory.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4560"/>
      </w:tblGrid>
      <w:tr>
        <w:trPr>
          <w:tblHeader/>
        </w:trPr>
        <w:tc>
          <w:tcPr>
            <w:tcW w:type="dxa" w:w="22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Initiative</w:t>
            </w:r>
          </w:p>
        </w:tc>
        <w:tc>
          <w:tcPr>
            <w:tcW w:type="dxa" w:w="15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Area</w:t>
            </w:r>
          </w:p>
        </w:tc>
        <w:tc>
          <w:tcPr>
            <w:tcW w:type="dxa" w:w="110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4560"/>
            <w:tcBorders>
              <w:top w:val="single" w:color="0B7A75" w:sz="1"/>
              <w:left w:val="single" w:color="0B7A75" w:sz="1"/>
              <w:bottom w:val="single" w:color="0B7A75" w:sz="1"/>
              <w:right w:val="single" w:color="0B7A75" w:sz="1"/>
            </w:tcBorders>
            <w:shd w:fill="0D234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ETL Marketplace Integration</w:t>
            </w:r>
          </w:p>
        </w:tc>
        <w:tc>
          <w:tcPr>
            <w:tcW w:type="dxa" w:w="1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business-os</w:t>
            </w:r>
          </w:p>
        </w:tc>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High</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Complete Amazon, eBay, and Google ETL model integrations and PPC sync on the gajan branch</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User Domain Access Implementation</w:t>
            </w:r>
          </w:p>
        </w:tc>
        <w:tc>
          <w:tcPr>
            <w:tcW w:type="dxa" w:w="1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thresholds</w:t>
            </w:r>
          </w:p>
        </w:tc>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High</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Populate user_domain_access records; current count is 0 — domain-scoped permission enforcement pending</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 Dependency Graph</w:t>
            </w:r>
          </w:p>
        </w:tc>
        <w:tc>
          <w:tcPr>
            <w:tcW w:type="dxa" w:w="1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thresholds</w:t>
            </w:r>
          </w:p>
        </w:tc>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Medium</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Implement threshold_dependencies relationship model to enable cross-threshold constraint visualisation</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Vue 3 Migration</w:t>
            </w:r>
          </w:p>
        </w:tc>
        <w:tc>
          <w:tcPr>
            <w:tcW w:type="dxa" w:w="1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Medium</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Evaluate and plan migration pathway from Vue 2 to Vue 3 Composition API ahead of Vue 2 EOL</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Activity Log Automation</w:t>
            </w:r>
          </w:p>
        </w:tc>
        <w:tc>
          <w:tcPr>
            <w:tcW w:type="dxa" w:w="1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docs</w:t>
            </w:r>
          </w:p>
        </w:tc>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Low</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Enhance agent maintenance rule to auto-generate structured activity log entries from git diff context</w:t>
            </w:r>
          </w:p>
        </w:tc>
      </w:tr>
      <w:tr>
        <w:tc>
          <w:tcPr>
            <w:tcW w:type="dxa" w:w="22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Dashboard Analytics Expansion</w:t>
            </w:r>
          </w:p>
        </w:tc>
        <w:tc>
          <w:tcPr>
            <w:tcW w:type="dxa" w:w="15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110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Low</w:t>
            </w:r>
          </w:p>
        </w:tc>
        <w:tc>
          <w:tcPr>
            <w:tcW w:type="dxa" w:w="4560"/>
            <w:tcBorders>
              <w:top w:val="single" w:color="D8DEE6" w:sz="1"/>
              <w:left w:val="single" w:color="D8DEE6" w:sz="1"/>
              <w:bottom w:val="single" w:color="D8DEE6" w:sz="1"/>
              <w:right w:val="single" w:color="D8DEE6" w:sz="1"/>
            </w:tcBorders>
            <w:shd w:fill="F5F7FA" w:val="clear"/>
            <w:tcMar>
              <w:top w:type="dxa" w:w="80"/>
              <w:left w:type="dxa" w:w="140"/>
              <w:bottom w:type="dxa" w:w="80"/>
              <w:right w:type="dxa" w:w="140"/>
            </w:tcMar>
            <w:vAlign w:val="center"/>
          </w:tcPr>
          <w:p>
            <w:r>
              <w:rPr>
                <w:rFonts w:ascii="Arial" w:cs="Arial" w:eastAsia="Arial" w:hAnsi="Arial"/>
                <w:color w:val="1A202C"/>
                <w:sz w:val="19"/>
                <w:szCs w:val="19"/>
              </w:rPr>
              <w:t xml:space="preserve">Expand Dashboard metrics panel to surface live threshold breach counts and file library growth trends</w:t>
            </w:r>
          </w:p>
        </w:tc>
      </w:tr>
      <w:tr>
        <w:tc>
          <w:tcPr>
            <w:tcW w:type="dxa" w:w="22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Committed UI Deployment</w:t>
            </w:r>
          </w:p>
        </w:tc>
        <w:tc>
          <w:tcPr>
            <w:tcW w:type="dxa" w:w="15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account-ui</w:t>
            </w:r>
          </w:p>
        </w:tc>
        <w:tc>
          <w:tcPr>
            <w:tcW w:type="dxa" w:w="110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Immediate</w:t>
            </w:r>
          </w:p>
        </w:tc>
        <w:tc>
          <w:tcPr>
            <w:tcW w:type="dxa" w:w="4560"/>
            <w:tcBorders>
              <w:top w:val="single" w:color="D8DEE6" w:sz="1"/>
              <w:left w:val="single" w:color="D8DEE6" w:sz="1"/>
              <w:bottom w:val="single" w:color="D8DEE6" w:sz="1"/>
              <w:right w:val="single" w:color="D8DEE6" w:sz="1"/>
            </w:tcBorders>
            <w:shd w:fill="FFFFFF" w:val="clear"/>
            <w:tcMar>
              <w:top w:type="dxa" w:w="80"/>
              <w:left w:type="dxa" w:w="140"/>
              <w:bottom w:type="dxa" w:w="80"/>
              <w:right w:type="dxa" w:w="140"/>
            </w:tcMar>
            <w:vAlign w:val="center"/>
          </w:tcPr>
          <w:p>
            <w:r>
              <w:rPr>
                <w:rFonts w:ascii="Arial" w:cs="Arial" w:eastAsia="Arial" w:hAnsi="Arial"/>
                <w:color w:val="1A202C"/>
                <w:sz w:val="19"/>
                <w:szCs w:val="19"/>
              </w:rPr>
              <w:t xml:space="preserve">Current Account UI polish (6 files modified) is in-progress and uncommitted — requires team review and commit</w:t>
            </w:r>
          </w:p>
        </w:tc>
      </w:tr>
    </w:tbl>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13. Developer Contributions</w:t>
      </w:r>
    </w:p>
    <w:p>
      <w:pPr>
        <w:spacing w:after="60" w:before="60"/>
      </w:pPr>
      <w:r>
        <w:rPr>
          <w:rFonts w:ascii="Arial" w:cs="Arial" w:eastAsia="Arial" w:hAnsi="Arial"/>
          <w:color w:val="1A202C"/>
          <w:sz w:val="22"/>
          <w:szCs w:val="22"/>
        </w:rPr>
        <w:t xml:space="preserve">The following section documents the engineering contributions attributed to J. Abiraj as the primary developer and technical lead on Project Sentinel. Contributions are categorised by engineering domain and cross-referenced against the activity log.</w:t>
      </w:r>
    </w:p>
    <w:p>
      <w:pPr>
        <w:spacing w:after="0" w:before="80"/>
      </w:pPr>
    </w:p>
    <w:p>
      <w:pPr>
        <w:pStyle w:val="Heading2"/>
        <w:spacing w:after="80" w:before="280"/>
      </w:pPr>
      <w:r>
        <w:rPr>
          <w:rFonts w:ascii="Arial" w:cs="Arial" w:eastAsia="Arial" w:hAnsi="Arial"/>
          <w:b/>
          <w:bCs/>
          <w:color w:val="0B7A75"/>
          <w:sz w:val="28"/>
          <w:szCs w:val="28"/>
        </w:rPr>
        <w:t xml:space="preserve">13.1 Frontend Architecture</w:t>
      </w:r>
    </w:p>
    <w:p>
      <w:pPr>
        <w:pStyle w:val="ListParagraph"/>
        <w:numPr>
          <w:ilvl w:val="0"/>
          <w:numId w:val="2"/>
        </w:numPr>
        <w:spacing w:after="40" w:before="40"/>
      </w:pPr>
      <w:r>
        <w:rPr>
          <w:rFonts w:ascii="Arial" w:cs="Arial" w:eastAsia="Arial" w:hAnsi="Arial"/>
          <w:color w:val="1A202C"/>
          <w:sz w:val="21"/>
          <w:szCs w:val="21"/>
        </w:rPr>
        <w:t xml:space="preserve">Architected and implemented the full-bleed layout extension pattern in App.vue, enabling all four modules to leverage borderless canvas composition</w:t>
      </w:r>
    </w:p>
    <w:p>
      <w:pPr>
        <w:pStyle w:val="ListParagraph"/>
        <w:numPr>
          <w:ilvl w:val="0"/>
          <w:numId w:val="2"/>
        </w:numPr>
        <w:spacing w:after="40" w:before="40"/>
      </w:pPr>
      <w:r>
        <w:rPr>
          <w:rFonts w:ascii="Arial" w:cs="Arial" w:eastAsia="Arial" w:hAnsi="Arial"/>
          <w:color w:val="1A202C"/>
          <w:sz w:val="21"/>
          <w:szCs w:val="21"/>
        </w:rPr>
        <w:t xml:space="preserve">Engineered the module-scoped glass-morphism design system, establishing visual consistency across Dashboard, File Manager, Threshold Configurator, and Business OS Configurator</w:t>
      </w:r>
    </w:p>
    <w:p>
      <w:pPr>
        <w:pStyle w:val="ListParagraph"/>
        <w:numPr>
          <w:ilvl w:val="0"/>
          <w:numId w:val="2"/>
        </w:numPr>
        <w:spacing w:after="40" w:before="40"/>
      </w:pPr>
      <w:r>
        <w:rPr>
          <w:rFonts w:ascii="Arial" w:cs="Arial" w:eastAsia="Arial" w:hAnsi="Arial"/>
          <w:color w:val="1A202C"/>
          <w:sz w:val="21"/>
          <w:szCs w:val="21"/>
        </w:rPr>
        <w:t xml:space="preserve">Designed and enforced the CSS namespace convention map ensuring zero cross-module style interference</w:t>
      </w:r>
    </w:p>
    <w:p>
      <w:pPr>
        <w:pStyle w:val="ListParagraph"/>
        <w:numPr>
          <w:ilvl w:val="0"/>
          <w:numId w:val="2"/>
        </w:numPr>
        <w:spacing w:after="40" w:before="40"/>
      </w:pPr>
      <w:r>
        <w:rPr>
          <w:rFonts w:ascii="Arial" w:cs="Arial" w:eastAsia="Arial" w:hAnsi="Arial"/>
          <w:color w:val="1A202C"/>
          <w:sz w:val="21"/>
          <w:szCs w:val="21"/>
        </w:rPr>
        <w:t xml:space="preserve">Implemented header brand identity refinement — removal of legacy border treatment, restoration of ambient mint gradient and sheen animation</w:t>
      </w:r>
    </w:p>
    <w:p>
      <w:pPr>
        <w:spacing w:after="0" w:before="80"/>
      </w:pPr>
    </w:p>
    <w:p>
      <w:pPr>
        <w:pStyle w:val="Heading2"/>
        <w:spacing w:after="80" w:before="280"/>
      </w:pPr>
      <w:r>
        <w:rPr>
          <w:rFonts w:ascii="Arial" w:cs="Arial" w:eastAsia="Arial" w:hAnsi="Arial"/>
          <w:b/>
          <w:bCs/>
          <w:color w:val="0B7A75"/>
          <w:sz w:val="28"/>
          <w:szCs w:val="28"/>
        </w:rPr>
        <w:t xml:space="preserve">13.2 Business OS Engineering</w:t>
      </w:r>
    </w:p>
    <w:p>
      <w:pPr>
        <w:pStyle w:val="ListParagraph"/>
        <w:numPr>
          <w:ilvl w:val="0"/>
          <w:numId w:val="2"/>
        </w:numPr>
        <w:spacing w:after="40" w:before="40"/>
      </w:pPr>
      <w:r>
        <w:rPr>
          <w:rFonts w:ascii="Arial" w:cs="Arial" w:eastAsia="Arial" w:hAnsi="Arial"/>
          <w:color w:val="1A202C"/>
          <w:sz w:val="21"/>
          <w:szCs w:val="21"/>
        </w:rPr>
        <w:t xml:space="preserve">Engineered the OIL v5 rules registry frontend (OilConfigurator.vue), spanning 8 domains, 80 threshold configurations, and YAML export capability</w:t>
      </w:r>
    </w:p>
    <w:p>
      <w:pPr>
        <w:pStyle w:val="ListParagraph"/>
        <w:numPr>
          <w:ilvl w:val="0"/>
          <w:numId w:val="2"/>
        </w:numPr>
        <w:spacing w:after="40" w:before="40"/>
      </w:pPr>
      <w:r>
        <w:rPr>
          <w:rFonts w:ascii="Arial" w:cs="Arial" w:eastAsia="Arial" w:hAnsi="Arial"/>
          <w:color w:val="1A202C"/>
          <w:sz w:val="21"/>
          <w:szCs w:val="21"/>
        </w:rPr>
        <w:t xml:space="preserve">Implemented animated hero topbar with live operational status indicator within the Business OS module</w:t>
      </w:r>
    </w:p>
    <w:p>
      <w:pPr>
        <w:pStyle w:val="ListParagraph"/>
        <w:numPr>
          <w:ilvl w:val="0"/>
          <w:numId w:val="2"/>
        </w:numPr>
        <w:spacing w:after="40" w:before="40"/>
      </w:pPr>
      <w:r>
        <w:rPr>
          <w:rFonts w:ascii="Arial" w:cs="Arial" w:eastAsia="Arial" w:hAnsi="Arial"/>
          <w:color w:val="1A202C"/>
          <w:sz w:val="21"/>
          <w:szCs w:val="21"/>
        </w:rPr>
        <w:t xml:space="preserve">Orchestrated the domain-to-threshold card rendering architecture: channel grouping, inline editing, directional threshold indicators, and save-all persistence</w:t>
      </w:r>
    </w:p>
    <w:p>
      <w:pPr>
        <w:spacing w:after="0" w:before="80"/>
      </w:pPr>
    </w:p>
    <w:p>
      <w:pPr>
        <w:pStyle w:val="Heading2"/>
        <w:spacing w:after="80" w:before="280"/>
      </w:pPr>
      <w:r>
        <w:rPr>
          <w:rFonts w:ascii="Arial" w:cs="Arial" w:eastAsia="Arial" w:hAnsi="Arial"/>
          <w:b/>
          <w:bCs/>
          <w:color w:val="0B7A75"/>
          <w:sz w:val="28"/>
          <w:szCs w:val="28"/>
        </w:rPr>
        <w:t xml:space="preserve">13.3 Threshold Administration</w:t>
      </w:r>
    </w:p>
    <w:p>
      <w:pPr>
        <w:pStyle w:val="ListParagraph"/>
        <w:numPr>
          <w:ilvl w:val="0"/>
          <w:numId w:val="2"/>
        </w:numPr>
        <w:spacing w:after="40" w:before="40"/>
      </w:pPr>
      <w:r>
        <w:rPr>
          <w:rFonts w:ascii="Arial" w:cs="Arial" w:eastAsia="Arial" w:hAnsi="Arial"/>
          <w:color w:val="1A202C"/>
          <w:sz w:val="21"/>
          <w:szCs w:val="21"/>
        </w:rPr>
        <w:t xml:space="preserve">Implemented Threshold Configurator administrative surface with full CRUD interface across 6 entity tables</w:t>
      </w:r>
    </w:p>
    <w:p>
      <w:pPr>
        <w:pStyle w:val="ListParagraph"/>
        <w:numPr>
          <w:ilvl w:val="0"/>
          <w:numId w:val="2"/>
        </w:numPr>
        <w:spacing w:after="40" w:before="40"/>
      </w:pPr>
      <w:r>
        <w:rPr>
          <w:rFonts w:ascii="Arial" w:cs="Arial" w:eastAsia="Arial" w:hAnsi="Arial"/>
          <w:color w:val="1A202C"/>
          <w:sz w:val="21"/>
          <w:szCs w:val="21"/>
        </w:rPr>
        <w:t xml:space="preserve">Engineered Domain Access administration panel — user account assignment, domain catalog management, and bulk domain rename capability</w:t>
      </w:r>
    </w:p>
    <w:p>
      <w:pPr>
        <w:pStyle w:val="ListParagraph"/>
        <w:numPr>
          <w:ilvl w:val="0"/>
          <w:numId w:val="2"/>
        </w:numPr>
        <w:spacing w:after="40" w:before="40"/>
      </w:pPr>
      <w:r>
        <w:rPr>
          <w:rFonts w:ascii="Arial" w:cs="Arial" w:eastAsia="Arial" w:hAnsi="Arial"/>
          <w:color w:val="1A202C"/>
          <w:sz w:val="21"/>
          <w:szCs w:val="21"/>
        </w:rPr>
        <w:t xml:space="preserve">Implemented threshold decimal precision controls and diff preview for file-replace operations</w:t>
      </w:r>
    </w:p>
    <w:p>
      <w:pPr>
        <w:spacing w:after="0" w:before="80"/>
      </w:pPr>
    </w:p>
    <w:p>
      <w:pPr>
        <w:pStyle w:val="Heading2"/>
        <w:spacing w:after="80" w:before="280"/>
      </w:pPr>
      <w:r>
        <w:rPr>
          <w:rFonts w:ascii="Arial" w:cs="Arial" w:eastAsia="Arial" w:hAnsi="Arial"/>
          <w:b/>
          <w:bCs/>
          <w:color w:val="0B7A75"/>
          <w:sz w:val="28"/>
          <w:szCs w:val="28"/>
        </w:rPr>
        <w:t xml:space="preserve">13.4 File Management System</w:t>
      </w:r>
    </w:p>
    <w:p>
      <w:pPr>
        <w:pStyle w:val="ListParagraph"/>
        <w:numPr>
          <w:ilvl w:val="0"/>
          <w:numId w:val="2"/>
        </w:numPr>
        <w:spacing w:after="40" w:before="40"/>
      </w:pPr>
      <w:r>
        <w:rPr>
          <w:rFonts w:ascii="Arial" w:cs="Arial" w:eastAsia="Arial" w:hAnsi="Arial"/>
          <w:color w:val="1A202C"/>
          <w:sz w:val="21"/>
          <w:szCs w:val="21"/>
        </w:rPr>
        <w:t xml:space="preserve">Engineered Central File Library with hierarchical folder tree navigation, breadcrumb path tracking, and glassmorphic dual-panel layout</w:t>
      </w:r>
    </w:p>
    <w:p>
      <w:pPr>
        <w:pStyle w:val="ListParagraph"/>
        <w:numPr>
          <w:ilvl w:val="0"/>
          <w:numId w:val="2"/>
        </w:numPr>
        <w:spacing w:after="40" w:before="40"/>
      </w:pPr>
      <w:r>
        <w:rPr>
          <w:rFonts w:ascii="Arial" w:cs="Arial" w:eastAsia="Arial" w:hAnsi="Arial"/>
          <w:color w:val="1A202C"/>
          <w:sz w:val="21"/>
          <w:szCs w:val="21"/>
        </w:rPr>
        <w:t xml:space="preserve">Implemented file action suite: Open, Download, Delete, and More per file; batch ZIP download scoped to active folder</w:t>
      </w:r>
    </w:p>
    <w:p>
      <w:pPr>
        <w:spacing w:after="0" w:before="80"/>
      </w:pPr>
    </w:p>
    <w:p>
      <w:pPr>
        <w:pStyle w:val="Heading2"/>
        <w:spacing w:after="80" w:before="280"/>
      </w:pPr>
      <w:r>
        <w:rPr>
          <w:rFonts w:ascii="Arial" w:cs="Arial" w:eastAsia="Arial" w:hAnsi="Arial"/>
          <w:b/>
          <w:bCs/>
          <w:color w:val="0B7A75"/>
          <w:sz w:val="28"/>
          <w:szCs w:val="28"/>
        </w:rPr>
        <w:t xml:space="preserve">13.5 Engineering Process</w:t>
      </w:r>
    </w:p>
    <w:p>
      <w:pPr>
        <w:pStyle w:val="ListParagraph"/>
        <w:numPr>
          <w:ilvl w:val="0"/>
          <w:numId w:val="2"/>
        </w:numPr>
        <w:spacing w:after="40" w:before="40"/>
      </w:pPr>
      <w:r>
        <w:rPr>
          <w:rFonts w:ascii="Arial" w:cs="Arial" w:eastAsia="Arial" w:hAnsi="Arial"/>
          <w:color w:val="1A202C"/>
          <w:sz w:val="21"/>
          <w:szCs w:val="21"/>
        </w:rPr>
        <w:t xml:space="preserve">Established living engineering log protocol (docs/skill.md) for persistent cross-session context management</w:t>
      </w:r>
    </w:p>
    <w:p>
      <w:pPr>
        <w:pStyle w:val="ListParagraph"/>
        <w:numPr>
          <w:ilvl w:val="0"/>
          <w:numId w:val="2"/>
        </w:numPr>
        <w:spacing w:after="40" w:before="40"/>
      </w:pPr>
      <w:r>
        <w:rPr>
          <w:rFonts w:ascii="Arial" w:cs="Arial" w:eastAsia="Arial" w:hAnsi="Arial"/>
          <w:color w:val="1A202C"/>
          <w:sz w:val="21"/>
          <w:szCs w:val="21"/>
        </w:rPr>
        <w:t xml:space="preserve">Provisioned Cursor IDE agent maintenance rule (.cursor/rules/engineering-activity-log.mdc) for automated activity traceability</w:t>
      </w:r>
    </w:p>
    <w:p>
      <w:pPr>
        <w:pStyle w:val="ListParagraph"/>
        <w:numPr>
          <w:ilvl w:val="0"/>
          <w:numId w:val="2"/>
        </w:numPr>
        <w:spacing w:after="40" w:before="40"/>
      </w:pPr>
      <w:r>
        <w:rPr>
          <w:rFonts w:ascii="Arial" w:cs="Arial" w:eastAsia="Arial" w:hAnsi="Arial"/>
          <w:color w:val="1A202C"/>
          <w:sz w:val="21"/>
          <w:szCs w:val="21"/>
        </w:rPr>
        <w:t xml:space="preserve">Maintained rigorous activity log across all engineering sessions, ensuring full historical auditability</w:t>
      </w:r>
    </w:p>
    <w:p>
      <w:pPr>
        <w:spacing w:after="0" w:before="120"/>
      </w:pPr>
    </w:p>
    <w:p>
      <w:r>
        <w:br w:type="page"/>
      </w:r>
    </w:p>
    <w:p>
      <w:pPr>
        <w:pStyle w:val="Heading1"/>
        <w:pBdr>
          <w:bottom w:val="single" w:color="0B7A75" w:sz="8" w:space="4"/>
        </w:pBdr>
        <w:spacing w:after="120" w:before="400"/>
      </w:pPr>
      <w:r>
        <w:rPr>
          <w:rFonts w:ascii="Arial" w:cs="Arial" w:eastAsia="Arial" w:hAnsi="Arial"/>
          <w:b/>
          <w:bCs/>
          <w:color w:val="0D2340"/>
          <w:sz w:val="36"/>
          <w:szCs w:val="36"/>
        </w:rPr>
        <w:t xml:space="preserve">14. Conclusion</w:t>
      </w:r>
    </w:p>
    <w:p>
      <w:pPr>
        <w:spacing w:after="60" w:before="60"/>
      </w:pPr>
      <w:r>
        <w:rPr>
          <w:rFonts w:ascii="Arial" w:cs="Arial" w:eastAsia="Arial" w:hAnsi="Arial"/>
          <w:color w:val="1A202C"/>
          <w:sz w:val="22"/>
          <w:szCs w:val="22"/>
        </w:rPr>
        <w:t xml:space="preserve">The BLOS — Business Logic Operating System, operating under Project Sentinel designation within the Ledsone Centralizer Operations Hub, represents a mature, enterprise-grade frontend engineering achievement. The system successfully unifies three operationally distinct business domains into a single authenticated SPA workspace, engineered to the highest standards of component modularity, UI/UX consistency, and architectural maintainability.</w:t>
      </w:r>
    </w:p>
    <w:p>
      <w:pPr>
        <w:spacing w:after="0" w:before="80"/>
      </w:pPr>
    </w:p>
    <w:p>
      <w:pPr>
        <w:spacing w:after="60" w:before="60"/>
      </w:pPr>
      <w:r>
        <w:rPr>
          <w:rFonts w:ascii="Arial" w:cs="Arial" w:eastAsia="Arial" w:hAnsi="Arial"/>
          <w:color w:val="1A202C"/>
          <w:sz w:val="22"/>
          <w:szCs w:val="22"/>
        </w:rPr>
        <w:t xml:space="preserve">The engineering initiatives completed under this project demonstrate proficiency across the full frontend engineering stack: Vue 2 SPA architecture, CSS animation systems, glass-morphism design language implementation, role-based access surface engineering, YAML configuration export pipelines, and AI-assisted development workflow governance.</w:t>
      </w:r>
    </w:p>
    <w:p>
      <w:pPr>
        <w:spacing w:after="0" w:before="80"/>
      </w:pPr>
    </w:p>
    <w:p>
      <w:pPr>
        <w:spacing w:after="60" w:before="60"/>
      </w:pPr>
      <w:r>
        <w:rPr>
          <w:rFonts w:ascii="Arial" w:cs="Arial" w:eastAsia="Arial" w:hAnsi="Arial"/>
          <w:color w:val="1A202C"/>
          <w:sz w:val="22"/>
          <w:szCs w:val="22"/>
        </w:rPr>
        <w:t xml:space="preserve">The living engineering log, agent maintenance protocol, and modular CSS convention map collectively establish a foundation for sustained, high-quality engineering delivery by future contributors — both human and AI-assisted — without risk of context loss or architectural regression.</w:t>
      </w:r>
    </w:p>
    <w:p>
      <w:pPr>
        <w:spacing w:after="0" w:before="80"/>
      </w:pPr>
    </w:p>
    <w:p>
      <w:pPr>
        <w:pBdr>
          <w:left w:val="single" w:color="0B7A75" w:sz="12" w:space="6"/>
        </w:pBdr>
        <w:shd w:fill="E8F5F4" w:val="clear"/>
        <w:spacing w:after="100" w:before="100"/>
        <w:ind w:left="400"/>
      </w:pPr>
      <w:r>
        <w:rPr>
          <w:rFonts w:ascii="Arial" w:cs="Arial" w:eastAsia="Arial" w:hAnsi="Arial"/>
          <w:color w:val="4A5568"/>
          <w:sz w:val="21"/>
          <w:szCs w:val="21"/>
        </w:rPr>
        <w:t xml:space="preserve">Project Sentinel is production-ready pending final team review and commit of the 6 in-progress Account UI polish files. All ETL marketplace integration work on the gajan branch represents the primary outstanding development initiative.</w:t>
      </w:r>
    </w:p>
    <w:p>
      <w:pPr>
        <w:spacing w:after="0" w:before="100"/>
      </w:pPr>
    </w:p>
    <w:p>
      <w:pPr>
        <w:pBdr>
          <w:bottom w:val="single" w:color="0B7A75" w:sz="4" w:space="1"/>
        </w:pBdr>
        <w:spacing w:after="80" w:before="80"/>
      </w:pPr>
    </w:p>
    <w:p>
      <w:pPr>
        <w:spacing w:after="0" w:before="80"/>
      </w:pPr>
    </w:p>
    <w:p>
      <w:pPr>
        <w:jc w:val="center"/>
      </w:pPr>
      <w:r>
        <w:rPr>
          <w:rFonts w:ascii="Arial" w:cs="Arial" w:eastAsia="Arial" w:hAnsi="Arial"/>
          <w:color w:val="4A5568"/>
          <w:sz w:val="20"/>
          <w:szCs w:val="20"/>
        </w:rPr>
        <w:t xml:space="preserve">Documentation prepared by J. Abiraj  ·  Project Sentinel  ·  May 2026</w:t>
      </w:r>
    </w:p>
    <w:p>
      <w:pPr>
        <w:jc w:val="center"/>
      </w:pPr>
      <w:r>
        <w:rPr>
          <w:rFonts w:ascii="Arial" w:cs="Arial" w:eastAsia="Arial" w:hAnsi="Arial"/>
          <w:color w:val="0B7A75"/>
          <w:sz w:val="20"/>
          <w:szCs w:val="20"/>
        </w:rPr>
        <w:t xml:space="preserve">Ledsone Centralizer — Operations Hub  ·  BLOS Engineering</w:t>
      </w:r>
    </w:p>
    <w:p>
      <w:pPr>
        <w:spacing w:after="0" w:before="40"/>
      </w:pPr>
    </w:p>
    <w:p>
      <w:pPr>
        <w:jc w:val="center"/>
      </w:pPr>
      <w:r>
        <w:rPr>
          <w:rFonts w:ascii="Arial" w:cs="Arial" w:eastAsia="Arial" w:hAnsi="Arial"/>
          <w:b/>
          <w:bCs/>
          <w:caps/>
          <w:color w:val="4A5568"/>
          <w:sz w:val="18"/>
          <w:szCs w:val="18"/>
        </w:rPr>
        <w:t xml:space="preserve">CONFIDENTIAL  ·  INTERNAL DISTRIBUTION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7A75" w:sz="4" w:space="2"/>
      </w:pBdr>
      <w:tabs>
        <w:tab w:val="right" w:pos="9026"/>
      </w:tabs>
    </w:pPr>
    <w:r>
      <w:rPr>
        <w:rFonts w:ascii="Arial" w:cs="Arial" w:eastAsia="Arial" w:hAnsi="Arial"/>
        <w:color w:val="4A5568"/>
        <w:sz w:val="17"/>
        <w:szCs w:val="17"/>
      </w:rPr>
      <w:t xml:space="preserve">Confidential  ·  Internal Use Only</w:t>
    </w:r>
    <w:r>
      <w:rPr>
        <w:rFonts w:ascii="Arial" w:cs="Arial" w:eastAsia="Arial" w:hAnsi="Arial"/>
        <w:sz w:val="17"/>
        <w:szCs w:val="17"/>
      </w:rPr>
      <w:t xml:space="preserve">	</w:t>
    </w:r>
    <w:r>
      <w:rPr>
        <w:rFonts w:ascii="Arial" w:cs="Arial" w:eastAsia="Arial" w:hAnsi="Arial"/>
        <w:color w:val="4A5568"/>
        <w:sz w:val="17"/>
        <w:szCs w:val="17"/>
      </w:rPr>
      <w:t xml:space="preserve">Page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A75" w:sz="4" w:space="2"/>
      </w:pBdr>
      <w:jc w:val="right"/>
    </w:pPr>
    <w:r>
      <w:rPr>
        <w:rFonts w:ascii="Arial" w:cs="Arial" w:eastAsia="Arial" w:hAnsi="Arial"/>
        <w:color w:val="4A5568"/>
        <w:sz w:val="18"/>
        <w:szCs w:val="18"/>
      </w:rPr>
      <w:t xml:space="preserve">BLOS — Project Sentinel  |  J. Abiraj  |  Ledsone Centralizer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34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B7A75"/>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8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2026-05-18T11:43:57.244Z</dcterms:created>
  <dcterms:modified xsi:type="dcterms:W3CDTF">2026-05-18T11:43:57.244Z</dcterms:modified>
</cp:coreProperties>
</file>

<file path=docProps/custom.xml><?xml version="1.0" encoding="utf-8"?>
<Properties xmlns="http://schemas.openxmlformats.org/officeDocument/2006/custom-properties" xmlns:vt="http://schemas.openxmlformats.org/officeDocument/2006/docPropsVTypes"/>
</file>