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1D23" w:val="clear"/>
            <w:tcMar>
              <w:top w:type="dxa" w:w="360"/>
              <w:left w:type="dxa" w:w="360"/>
              <w:bottom w:type="dxa" w:w="360"/>
              <w:right w:type="dxa" w:w="360"/>
            </w:tcMar>
            <w:vAlign w:val="top"/>
          </w:tcPr>
          <w:p>
            <w:pPr>
              <w:spacing w:after="60" w:before="0"/>
              <w:jc w:val="left"/>
            </w:pPr>
            <w:r>
              <w:rPr>
                <w:rFonts w:ascii="Arial" w:cs="Arial" w:eastAsia="Arial" w:hAnsi="Arial"/>
                <w:b/>
                <w:bCs/>
                <w:color w:val="FFFFFF"/>
                <w:sz w:val="40"/>
                <w:szCs w:val="40"/>
              </w:rPr>
              <w:t xml:space="preserve">PH ASIN SEGMENTATION</w:t>
            </w:r>
          </w:p>
          <w:p>
            <w:pPr>
              <w:spacing w:after="60" w:before="0"/>
              <w:jc w:val="left"/>
            </w:pPr>
            <w:r>
              <w:rPr>
                <w:rFonts w:ascii="Arial" w:cs="Arial" w:eastAsia="Arial" w:hAnsi="Arial"/>
                <w:b/>
                <w:bCs/>
                <w:color w:val="FFB300"/>
                <w:sz w:val="26"/>
                <w:szCs w:val="26"/>
              </w:rPr>
              <w:t xml:space="preserve">PERFORMANCE ANALYSIS &amp; ACTION PROTOCOL</w:t>
            </w:r>
          </w:p>
          <w:p>
            <w:pPr>
              <w:spacing w:after="0" w:before="0"/>
              <w:jc w:val="left"/>
            </w:pPr>
            <w:r>
              <w:rPr>
                <w:rFonts w:ascii="Arial" w:cs="Arial" w:eastAsia="Arial" w:hAnsi="Arial"/>
                <w:color w:val="9AA0AD"/>
                <w:sz w:val="20"/>
                <w:szCs w:val="20"/>
              </w:rPr>
              <w:t xml:space="preserve">UK Amazon FBM  |  Per Portfolio Holder  |  Monthly Execution</w:t>
            </w:r>
          </w:p>
        </w:tc>
      </w:tr>
    </w:tbl>
    <w:p>
      <w:pPr>
        <w:spacing w:after="120" w:before="0"/>
        <w:jc w:val="left"/>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Document</w:t>
            </w:r>
          </w:p>
        </w:tc>
        <w:tc>
          <w:tcPr>
            <w:tcW w:type="dxa" w:w="768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Info</w:t>
            </w:r>
          </w:p>
        </w:tc>
      </w:tr>
      <w:tr>
        <w:tc>
          <w:tcPr>
            <w:tcW w:type="dxa" w:w="24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Document</w:t>
            </w:r>
          </w:p>
        </w:tc>
        <w:tc>
          <w:tcPr>
            <w:tcW w:type="dxa" w:w="768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PH ASIN Segmentation Protocol v1.0</w:t>
            </w:r>
          </w:p>
        </w:tc>
      </w:tr>
      <w:tr>
        <w:tc>
          <w:tcPr>
            <w:tcW w:type="dxa" w:w="24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Owner</w:t>
            </w:r>
          </w:p>
        </w:tc>
        <w:tc>
          <w:tcPr>
            <w:tcW w:type="dxa" w:w="768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Bietrick (TL)</w:t>
            </w:r>
          </w:p>
        </w:tc>
      </w:tr>
      <w:tr>
        <w:tc>
          <w:tcPr>
            <w:tcW w:type="dxa" w:w="24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Scope</w:t>
            </w:r>
          </w:p>
        </w:tc>
        <w:tc>
          <w:tcPr>
            <w:tcW w:type="dxa" w:w="768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UK Amazon FBM — All PHs under Bietrick</w:t>
            </w:r>
          </w:p>
        </w:tc>
      </w:tr>
      <w:tr>
        <w:tc>
          <w:tcPr>
            <w:tcW w:type="dxa" w:w="24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Frequency</w:t>
            </w:r>
          </w:p>
        </w:tc>
        <w:tc>
          <w:tcPr>
            <w:tcW w:type="dxa" w:w="768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Monthly (every 1st of the month)</w:t>
            </w:r>
          </w:p>
        </w:tc>
      </w:tr>
      <w:tr>
        <w:tc>
          <w:tcPr>
            <w:tcW w:type="dxa" w:w="24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Tool</w:t>
            </w:r>
          </w:p>
        </w:tc>
        <w:tc>
          <w:tcPr>
            <w:tcW w:type="dxa" w:w="768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Claude Project with Postgres MCP Connector</w:t>
            </w:r>
          </w:p>
        </w:tc>
      </w:tr>
      <w:tr>
        <w:tc>
          <w:tcPr>
            <w:tcW w:type="dxa" w:w="24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Data Source</w:t>
            </w:r>
          </w:p>
        </w:tc>
        <w:tc>
          <w:tcPr>
            <w:tcW w:type="dxa" w:w="768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Live Postgres — traffic_data + order_transaction + ppc_performance</w:t>
            </w:r>
          </w:p>
        </w:tc>
      </w:tr>
      <w:tr>
        <w:tc>
          <w:tcPr>
            <w:tcW w:type="dxa" w:w="24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Data Window</w:t>
            </w:r>
          </w:p>
        </w:tc>
        <w:tc>
          <w:tcPr>
            <w:tcW w:type="dxa" w:w="768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Last 30 days (current month) + Previous 30 days (movement tracking)</w:t>
            </w:r>
          </w:p>
        </w:tc>
      </w:tr>
      <w:tr>
        <w:tc>
          <w:tcPr>
            <w:tcW w:type="dxa" w:w="24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Date</w:t>
            </w:r>
          </w:p>
        </w:tc>
        <w:tc>
          <w:tcPr>
            <w:tcW w:type="dxa" w:w="768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June 2026</w:t>
            </w:r>
          </w:p>
        </w:tc>
      </w:tr>
      <w:tr>
        <w:tc>
          <w:tcPr>
            <w:tcW w:type="dxa" w:w="24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Version</w:t>
            </w:r>
          </w:p>
        </w:tc>
        <w:tc>
          <w:tcPr>
            <w:tcW w:type="dxa" w:w="768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1.0</w:t>
            </w:r>
          </w:p>
        </w:tc>
      </w:tr>
    </w:tbl>
    <w:p>
      <w:pPr>
        <w:spacing w:after="120" w:before="0"/>
        <w:jc w:val="left"/>
      </w:pPr>
      <w:r>
        <w:rPr>
          <w:rFonts w:ascii="Arial" w:cs="Arial" w:eastAsia="Arial" w:hAnsi="Arial"/>
          <w:sz w:val="20"/>
          <w:szCs w:val="20"/>
        </w:rPr>
        <w:t xml:space="preserve"/>
      </w:r>
    </w:p>
    <w:p>
      <w:pPr>
        <w:pStyle w:val="Heading1"/>
        <w:pBdr>
          <w:bottom w:val="single" w:color="C0392B" w:sz="6" w:space="4"/>
        </w:pBdr>
        <w:spacing w:after="160" w:before="320"/>
      </w:pPr>
      <w:r>
        <w:rPr>
          <w:rFonts w:ascii="Arial" w:cs="Arial" w:eastAsia="Arial" w:hAnsi="Arial"/>
          <w:b/>
          <w:bCs/>
          <w:color w:val="C0392B"/>
          <w:sz w:val="28"/>
          <w:szCs w:val="28"/>
        </w:rPr>
        <w:t xml:space="preserve">1. PURPOSE</w:t>
      </w:r>
    </w:p>
    <w:p>
      <w:pPr>
        <w:spacing w:after="120" w:before="0"/>
        <w:jc w:val="left"/>
      </w:pPr>
      <w:r>
        <w:rPr>
          <w:rFonts w:ascii="Arial" w:cs="Arial" w:eastAsia="Arial" w:hAnsi="Arial"/>
          <w:sz w:val="20"/>
          <w:szCs w:val="20"/>
        </w:rPr>
        <w:t xml:space="preserve">This protocol gives Bietrick and sub-leaders an exact, repeatable monthly process to classify every PH's Amazon ASINs into one of six performance segments based on Impressions, Clicks, and Conversion Rate. Each segment has a specific action plan. The goal is to identify which ASINs are underperforming, what is causing it, and what action must be taken — with full movement tracking to measure improvement month-over-month.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A8A4A" w:sz="16"/>
              <w:bottom w:val="none" w:color="FFFFFF" w:sz="0"/>
              <w:right w:val="none" w:color="FFFFFF" w:sz="0"/>
            </w:tcBorders>
            <w:shd w:fill="E8F7EE" w:val="clear"/>
            <w:tcMar>
              <w:top w:type="dxa" w:w="100"/>
              <w:left w:type="dxa" w:w="160"/>
              <w:bottom w:type="dxa" w:w="100"/>
              <w:right w:type="dxa" w:w="120"/>
            </w:tcMar>
            <w:vAlign w:val="top"/>
          </w:tcPr>
          <w:p>
            <w:pPr>
              <w:spacing w:after="0" w:before="0"/>
              <w:jc w:val="left"/>
            </w:pPr>
            <w:r>
              <w:rPr>
                <w:rFonts w:ascii="Arial" w:cs="Arial" w:eastAsia="Arial" w:hAnsi="Arial"/>
                <w:color w:val="1A8A4A"/>
                <w:sz w:val="20"/>
                <w:szCs w:val="20"/>
              </w:rPr>
              <w:t xml:space="preserve">Every ASIN in every PH's portfolio is classified every month. No ASIN is left without a segment, an action, and a deadline. Movement tracking ensures accountability is maintained across consecutive months.</w:t>
            </w:r>
          </w:p>
        </w:tc>
      </w:tr>
    </w:tbl>
    <w:p>
      <w:pPr>
        <w:spacing w:after="120" w:before="0"/>
        <w:jc w:val="left"/>
      </w:pPr>
      <w:r>
        <w:rPr>
          <w:rFonts w:ascii="Arial" w:cs="Arial" w:eastAsia="Arial" w:hAnsi="Arial"/>
          <w:sz w:val="20"/>
          <w:szCs w:val="20"/>
        </w:rPr>
        <w:t xml:space="preserve"/>
      </w:r>
    </w:p>
    <w:p>
      <w:pPr>
        <w:spacing w:after="60" w:before="0"/>
        <w:jc w:val="left"/>
      </w:pPr>
      <w:r>
        <w:rPr>
          <w:rFonts w:ascii="Arial" w:cs="Arial" w:eastAsia="Arial" w:hAnsi="Arial"/>
          <w:b/>
          <w:bCs/>
          <w:sz w:val="20"/>
          <w:szCs w:val="20"/>
        </w:rPr>
        <w:t xml:space="preserve">What this protocol does:</w:t>
      </w:r>
    </w:p>
    <w:p>
      <w:pPr>
        <w:pStyle w:val="ListParagraph"/>
        <w:numPr>
          <w:ilvl w:val="0"/>
          <w:numId w:val="2"/>
        </w:numPr>
        <w:spacing w:after="80" w:before="0"/>
      </w:pPr>
      <w:r>
        <w:rPr>
          <w:rFonts w:ascii="Arial" w:cs="Arial" w:eastAsia="Arial" w:hAnsi="Arial"/>
          <w:sz w:val="20"/>
          <w:szCs w:val="20"/>
        </w:rPr>
        <w:t xml:space="preserve">Classifies every PH ASIN into one of 6 segments using live traffic data (impressions, clicks, conversion).</w:t>
      </w:r>
    </w:p>
    <w:p>
      <w:pPr>
        <w:pStyle w:val="ListParagraph"/>
        <w:numPr>
          <w:ilvl w:val="0"/>
          <w:numId w:val="2"/>
        </w:numPr>
        <w:spacing w:after="80" w:before="0"/>
      </w:pPr>
      <w:r>
        <w:rPr>
          <w:rFonts w:ascii="Arial" w:cs="Arial" w:eastAsia="Arial" w:hAnsi="Arial"/>
          <w:sz w:val="20"/>
          <w:szCs w:val="20"/>
        </w:rPr>
        <w:t xml:space="preserve">Calculates a dynamic benchmark per PH per category using the top 30 (or minimum 10) sold products in that category in the last 30 days.</w:t>
      </w:r>
    </w:p>
    <w:p>
      <w:pPr>
        <w:pStyle w:val="ListParagraph"/>
        <w:numPr>
          <w:ilvl w:val="0"/>
          <w:numId w:val="2"/>
        </w:numPr>
        <w:spacing w:after="80" w:before="0"/>
      </w:pPr>
      <w:r>
        <w:rPr>
          <w:rFonts w:ascii="Arial" w:cs="Arial" w:eastAsia="Arial" w:hAnsi="Arial"/>
          <w:sz w:val="20"/>
          <w:szCs w:val="20"/>
        </w:rPr>
        <w:t xml:space="preserve">Tracks movement of every ASIN between segments month-over-month (improved, same, declined).</w:t>
      </w:r>
    </w:p>
    <w:p>
      <w:pPr>
        <w:pStyle w:val="ListParagraph"/>
        <w:numPr>
          <w:ilvl w:val="0"/>
          <w:numId w:val="2"/>
        </w:numPr>
        <w:spacing w:after="80" w:before="0"/>
      </w:pPr>
      <w:r>
        <w:rPr>
          <w:rFonts w:ascii="Arial" w:cs="Arial" w:eastAsia="Arial" w:hAnsi="Arial"/>
          <w:sz w:val="20"/>
          <w:szCs w:val="20"/>
        </w:rPr>
        <w:t xml:space="preserve">Shows each PH their own category-specific configurator (their benchmark thresholds).</w:t>
      </w:r>
    </w:p>
    <w:p>
      <w:pPr>
        <w:pStyle w:val="ListParagraph"/>
        <w:numPr>
          <w:ilvl w:val="0"/>
          <w:numId w:val="2"/>
        </w:numPr>
        <w:spacing w:after="80" w:before="0"/>
      </w:pPr>
      <w:r>
        <w:rPr>
          <w:rFonts w:ascii="Arial" w:cs="Arial" w:eastAsia="Arial" w:hAnsi="Arial"/>
          <w:sz w:val="20"/>
          <w:szCs w:val="20"/>
        </w:rPr>
        <w:t xml:space="preserve">Generates an interactive HTML report on the 1st of every month with tabs, sidebar, tick system, and progress bars.</w:t>
      </w:r>
    </w:p>
    <w:p>
      <w:pPr>
        <w:pStyle w:val="ListParagraph"/>
        <w:numPr>
          <w:ilvl w:val="0"/>
          <w:numId w:val="2"/>
        </w:numPr>
        <w:spacing w:after="80" w:before="0"/>
      </w:pPr>
      <w:r>
        <w:rPr>
          <w:rFonts w:ascii="Arial" w:cs="Arial" w:eastAsia="Arial" w:hAnsi="Arial"/>
          <w:sz w:val="20"/>
          <w:szCs w:val="20"/>
        </w:rPr>
        <w:t xml:space="preserve">Every ASIN is tagged with its account name — LEDSone UK or DCVoltage UK.</w:t>
      </w:r>
    </w:p>
    <w:p>
      <w:pPr>
        <w:spacing w:after="120" w:before="0"/>
        <w:jc w:val="left"/>
      </w:pPr>
      <w:r>
        <w:rPr>
          <w:rFonts w:ascii="Arial" w:cs="Arial" w:eastAsia="Arial" w:hAnsi="Arial"/>
          <w:sz w:val="20"/>
          <w:szCs w:val="20"/>
        </w:rPr>
        <w:t xml:space="preserve"/>
      </w:r>
    </w:p>
    <w:p>
      <w:pPr>
        <w:pStyle w:val="Heading1"/>
        <w:pBdr>
          <w:bottom w:val="single" w:color="C0392B" w:sz="6" w:space="4"/>
        </w:pBdr>
        <w:spacing w:after="160" w:before="320"/>
      </w:pPr>
      <w:r>
        <w:rPr>
          <w:rFonts w:ascii="Arial" w:cs="Arial" w:eastAsia="Arial" w:hAnsi="Arial"/>
          <w:b/>
          <w:bCs/>
          <w:color w:val="C0392B"/>
          <w:sz w:val="28"/>
          <w:szCs w:val="28"/>
        </w:rPr>
        <w:t xml:space="preserve">2. HOW SEGMENTATION WORKS</w:t>
      </w:r>
    </w:p>
    <w:p>
      <w:pPr>
        <w:pStyle w:val="Heading2"/>
        <w:spacing w:after="120" w:before="240"/>
      </w:pPr>
      <w:r>
        <w:rPr>
          <w:rFonts w:ascii="Arial" w:cs="Arial" w:eastAsia="Arial" w:hAnsi="Arial"/>
          <w:b/>
          <w:bCs/>
          <w:color w:val="1A1D23"/>
          <w:sz w:val="24"/>
          <w:szCs w:val="24"/>
        </w:rPr>
        <w:t xml:space="preserve">2.1 The Six Segments</w:t>
      </w:r>
    </w:p>
    <w:p>
      <w:pPr>
        <w:spacing w:after="80" w:before="0"/>
        <w:jc w:val="left"/>
      </w:pPr>
      <w:r>
        <w:rPr>
          <w:rFonts w:ascii="Arial" w:cs="Arial" w:eastAsia="Arial" w:hAnsi="Arial"/>
          <w:sz w:val="20"/>
          <w:szCs w:val="20"/>
        </w:rPr>
        <w:t xml:space="preserve">Every ASIN is evaluated on three performance signals pulled from the live database for the last 30 days: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4380"/>
      </w:tblGrid>
      <w:tr>
        <w:trPr>
          <w:tblHeader/>
        </w:trPr>
        <w:tc>
          <w:tcPr>
            <w:tcW w:type="dxa" w:w="220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Signal</w:t>
            </w:r>
          </w:p>
        </w:tc>
        <w:tc>
          <w:tcPr>
            <w:tcW w:type="dxa" w:w="350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Source Field</w:t>
            </w:r>
          </w:p>
        </w:tc>
        <w:tc>
          <w:tcPr>
            <w:tcW w:type="dxa" w:w="438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What it Measures</w:t>
            </w:r>
          </w:p>
        </w:tc>
      </w:tr>
      <w:tr>
        <w:tc>
          <w:tcPr>
            <w:tcW w:type="dxa" w:w="22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Impressions</w:t>
            </w:r>
          </w:p>
        </w:tc>
        <w:tc>
          <w:tcPr>
            <w:tcW w:type="dxa" w:w="35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traffic_data.impression</w:t>
            </w:r>
          </w:p>
        </w:tc>
        <w:tc>
          <w:tcPr>
            <w:tcW w:type="dxa" w:w="438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How many times the ASIN was shown in search results or browse</w:t>
            </w:r>
          </w:p>
        </w:tc>
      </w:tr>
      <w:tr>
        <w:tc>
          <w:tcPr>
            <w:tcW w:type="dxa" w:w="22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Clicks</w:t>
            </w:r>
          </w:p>
        </w:tc>
        <w:tc>
          <w:tcPr>
            <w:tcW w:type="dxa" w:w="35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traffic_data.click</w:t>
            </w:r>
          </w:p>
        </w:tc>
        <w:tc>
          <w:tcPr>
            <w:tcW w:type="dxa" w:w="438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How many customers clicked through to the product detail page</w:t>
            </w:r>
          </w:p>
        </w:tc>
      </w:tr>
      <w:tr>
        <w:tc>
          <w:tcPr>
            <w:tcW w:type="dxa" w:w="22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Conversion</w:t>
            </w:r>
          </w:p>
        </w:tc>
        <w:tc>
          <w:tcPr>
            <w:tcW w:type="dxa" w:w="35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traffic_data.conversion / traffic_data.click</w:t>
            </w:r>
          </w:p>
        </w:tc>
        <w:tc>
          <w:tcPr>
            <w:tcW w:type="dxa" w:w="438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Percentage of clicks that resulted in a sale (CVR)</w:t>
            </w:r>
          </w:p>
        </w:tc>
      </w:tr>
    </w:tbl>
    <w:p>
      <w:pPr>
        <w:spacing w:after="100" w:before="0"/>
        <w:jc w:val="left"/>
      </w:pPr>
      <w:r>
        <w:rPr>
          <w:rFonts w:ascii="Arial" w:cs="Arial" w:eastAsia="Arial" w:hAnsi="Arial"/>
          <w:sz w:val="20"/>
          <w:szCs w:val="20"/>
        </w:rPr>
        <w:t xml:space="preserve"/>
      </w:r>
    </w:p>
    <w:p>
      <w:pPr>
        <w:spacing w:after="80" w:before="0"/>
        <w:jc w:val="left"/>
      </w:pPr>
      <w:r>
        <w:rPr>
          <w:rFonts w:ascii="Arial" w:cs="Arial" w:eastAsia="Arial" w:hAnsi="Arial"/>
          <w:sz w:val="20"/>
          <w:szCs w:val="20"/>
        </w:rPr>
        <w:t xml:space="preserve">Each signal is classified as HIGH or LOW relative to the PH's category benchmark (see Section 2.2). The combination of three binary signals produces one of six segment codes:</w:t>
      </w:r>
    </w:p>
    <w:tbl>
      <w:tblPr>
        <w:tblW w:type="dxa" w:w="1108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200"/>
        <w:gridCol w:w="1800"/>
        <w:gridCol w:w="1600"/>
        <w:gridCol w:w="3980"/>
      </w:tblGrid>
      <w:tr>
        <w:trPr>
          <w:tblHeader/>
        </w:trPr>
        <w:tc>
          <w:tcPr>
            <w:tcW w:type="dxa" w:w="100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Code</w:t>
            </w:r>
          </w:p>
        </w:tc>
        <w:tc>
          <w:tcPr>
            <w:tcW w:type="dxa" w:w="150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Impression</w:t>
            </w:r>
          </w:p>
        </w:tc>
        <w:tc>
          <w:tcPr>
            <w:tcW w:type="dxa" w:w="120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Click</w:t>
            </w:r>
          </w:p>
        </w:tc>
        <w:tc>
          <w:tcPr>
            <w:tcW w:type="dxa" w:w="180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Conversion</w:t>
            </w:r>
          </w:p>
        </w:tc>
        <w:tc>
          <w:tcPr>
            <w:tcW w:type="dxa" w:w="160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Dashboard</w:t>
            </w:r>
          </w:p>
        </w:tc>
        <w:tc>
          <w:tcPr>
            <w:tcW w:type="dxa" w:w="398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Priority</w:t>
            </w:r>
          </w:p>
        </w:tc>
      </w:tr>
      <w:tr>
        <w:tc>
          <w:tcPr>
            <w:tcW w:type="dxa" w:w="10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HHH</w:t>
            </w:r>
          </w:p>
        </w:tc>
        <w:tc>
          <w:tcPr>
            <w:tcW w:type="dxa" w:w="15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HIGH</w:t>
            </w:r>
          </w:p>
        </w:tc>
        <w:tc>
          <w:tcPr>
            <w:tcW w:type="dxa" w:w="12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HIGH</w:t>
            </w:r>
          </w:p>
        </w:tc>
        <w:tc>
          <w:tcPr>
            <w:tcW w:type="dxa" w:w="18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HIGH</w:t>
            </w:r>
          </w:p>
        </w:tc>
        <w:tc>
          <w:tcPr>
            <w:tcW w:type="dxa" w:w="16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 Green</w:t>
            </w:r>
          </w:p>
        </w:tc>
        <w:tc>
          <w:tcPr>
            <w:tcW w:type="dxa" w:w="398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Scale</w:t>
            </w:r>
          </w:p>
        </w:tc>
      </w:tr>
      <w:tr>
        <w:tc>
          <w:tcPr>
            <w:tcW w:type="dxa" w:w="10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HHL</w:t>
            </w:r>
          </w:p>
        </w:tc>
        <w:tc>
          <w:tcPr>
            <w:tcW w:type="dxa" w:w="15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HIGH</w:t>
            </w:r>
          </w:p>
        </w:tc>
        <w:tc>
          <w:tcPr>
            <w:tcW w:type="dxa" w:w="12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HIGH</w:t>
            </w:r>
          </w:p>
        </w:tc>
        <w:tc>
          <w:tcPr>
            <w:tcW w:type="dxa" w:w="18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LOW</w:t>
            </w:r>
          </w:p>
        </w:tc>
        <w:tc>
          <w:tcPr>
            <w:tcW w:type="dxa" w:w="16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 Amber</w:t>
            </w:r>
          </w:p>
        </w:tc>
        <w:tc>
          <w:tcPr>
            <w:tcW w:type="dxa" w:w="398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Fix Now</w:t>
            </w:r>
          </w:p>
        </w:tc>
      </w:tr>
      <w:tr>
        <w:tc>
          <w:tcPr>
            <w:tcW w:type="dxa" w:w="10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HLH</w:t>
            </w:r>
          </w:p>
        </w:tc>
        <w:tc>
          <w:tcPr>
            <w:tcW w:type="dxa" w:w="15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HIGH</w:t>
            </w:r>
          </w:p>
        </w:tc>
        <w:tc>
          <w:tcPr>
            <w:tcW w:type="dxa" w:w="12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LOW</w:t>
            </w:r>
          </w:p>
        </w:tc>
        <w:tc>
          <w:tcPr>
            <w:tcW w:type="dxa" w:w="18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HIGH</w:t>
            </w:r>
          </w:p>
        </w:tc>
        <w:tc>
          <w:tcPr>
            <w:tcW w:type="dxa" w:w="16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 Amber</w:t>
            </w:r>
          </w:p>
        </w:tc>
        <w:tc>
          <w:tcPr>
            <w:tcW w:type="dxa" w:w="398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Quick Win</w:t>
            </w:r>
          </w:p>
        </w:tc>
      </w:tr>
      <w:tr>
        <w:tc>
          <w:tcPr>
            <w:tcW w:type="dxa" w:w="10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LHH</w:t>
            </w:r>
          </w:p>
        </w:tc>
        <w:tc>
          <w:tcPr>
            <w:tcW w:type="dxa" w:w="15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LOW</w:t>
            </w:r>
          </w:p>
        </w:tc>
        <w:tc>
          <w:tcPr>
            <w:tcW w:type="dxa" w:w="12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HIGH</w:t>
            </w:r>
          </w:p>
        </w:tc>
        <w:tc>
          <w:tcPr>
            <w:tcW w:type="dxa" w:w="18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HIGH</w:t>
            </w:r>
          </w:p>
        </w:tc>
        <w:tc>
          <w:tcPr>
            <w:tcW w:type="dxa" w:w="16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 Amber</w:t>
            </w:r>
          </w:p>
        </w:tc>
        <w:tc>
          <w:tcPr>
            <w:tcW w:type="dxa" w:w="398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Growth Play</w:t>
            </w:r>
          </w:p>
        </w:tc>
      </w:tr>
      <w:tr>
        <w:tc>
          <w:tcPr>
            <w:tcW w:type="dxa" w:w="10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LLL</w:t>
            </w:r>
          </w:p>
        </w:tc>
        <w:tc>
          <w:tcPr>
            <w:tcW w:type="dxa" w:w="15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LOW</w:t>
            </w:r>
          </w:p>
        </w:tc>
        <w:tc>
          <w:tcPr>
            <w:tcW w:type="dxa" w:w="12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LOW</w:t>
            </w:r>
          </w:p>
        </w:tc>
        <w:tc>
          <w:tcPr>
            <w:tcW w:type="dxa" w:w="18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LOW</w:t>
            </w:r>
          </w:p>
        </w:tc>
        <w:tc>
          <w:tcPr>
            <w:tcW w:type="dxa" w:w="16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 Red</w:t>
            </w:r>
          </w:p>
        </w:tc>
        <w:tc>
          <w:tcPr>
            <w:tcW w:type="dxa" w:w="398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Kill / Review</w:t>
            </w:r>
          </w:p>
        </w:tc>
      </w:tr>
      <w:tr>
        <w:tc>
          <w:tcPr>
            <w:tcW w:type="dxa" w:w="10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LLH</w:t>
            </w:r>
          </w:p>
        </w:tc>
        <w:tc>
          <w:tcPr>
            <w:tcW w:type="dxa" w:w="15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LOW</w:t>
            </w:r>
          </w:p>
        </w:tc>
        <w:tc>
          <w:tcPr>
            <w:tcW w:type="dxa" w:w="12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LOW</w:t>
            </w:r>
          </w:p>
        </w:tc>
        <w:tc>
          <w:tcPr>
            <w:tcW w:type="dxa" w:w="18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HIGH</w:t>
            </w:r>
          </w:p>
        </w:tc>
        <w:tc>
          <w:tcPr>
            <w:tcW w:type="dxa" w:w="16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 Mixed</w:t>
            </w:r>
          </w:p>
        </w:tc>
        <w:tc>
          <w:tcPr>
            <w:tcW w:type="dxa" w:w="398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Maintain Selectively</w:t>
            </w:r>
          </w:p>
        </w:tc>
      </w:tr>
    </w:tbl>
    <w:p>
      <w:pPr>
        <w:spacing w:after="120" w:before="0"/>
        <w:jc w:val="left"/>
      </w:pPr>
      <w:r>
        <w:rPr>
          <w:rFonts w:ascii="Arial" w:cs="Arial" w:eastAsia="Arial" w:hAnsi="Arial"/>
          <w:sz w:val="20"/>
          <w:szCs w:val="20"/>
        </w:rPr>
        <w:t xml:space="preserve"/>
      </w:r>
    </w:p>
    <w:p>
      <w:pPr>
        <w:pStyle w:val="Heading2"/>
        <w:spacing w:after="120" w:before="240"/>
      </w:pPr>
      <w:r>
        <w:rPr>
          <w:rFonts w:ascii="Arial" w:cs="Arial" w:eastAsia="Arial" w:hAnsi="Arial"/>
          <w:b/>
          <w:bCs/>
          <w:color w:val="1A1D23"/>
          <w:sz w:val="24"/>
          <w:szCs w:val="24"/>
        </w:rPr>
        <w:t xml:space="preserve">2.2 The Configurator — Category-Wise Dynamic Benchmark</w:t>
      </w:r>
    </w:p>
    <w:p>
      <w:pPr>
        <w:spacing w:after="100" w:before="0"/>
        <w:jc w:val="left"/>
      </w:pPr>
      <w:r>
        <w:rPr>
          <w:rFonts w:ascii="Arial" w:cs="Arial" w:eastAsia="Arial" w:hAnsi="Arial"/>
          <w:sz w:val="20"/>
          <w:szCs w:val="20"/>
        </w:rPr>
        <w:t xml:space="preserve">Every PH has their own configurator. Because different PHs own different product categories (e.g. Jasmini owns Cable and Cable Ties, Theepana owns Pendant Holders, utharsika owns Shades), the benchmark for HIGH vs LOW must be set per category — not as a single global average across all ASINs.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B87800" w:sz="16"/>
              <w:bottom w:val="none" w:color="FFFFFF" w:sz="0"/>
              <w:right w:val="none" w:color="FFFFFF" w:sz="0"/>
            </w:tcBorders>
            <w:shd w:fill="FFFBF0" w:val="clear"/>
            <w:tcMar>
              <w:top w:type="dxa" w:w="100"/>
              <w:left w:type="dxa" w:w="160"/>
              <w:bottom w:type="dxa" w:w="100"/>
              <w:right w:type="dxa" w:w="120"/>
            </w:tcMar>
            <w:vAlign w:val="top"/>
          </w:tcPr>
          <w:p>
            <w:pPr>
              <w:spacing w:after="0" w:before="0"/>
              <w:jc w:val="left"/>
            </w:pPr>
            <w:r>
              <w:rPr>
                <w:rFonts w:ascii="Arial" w:cs="Arial" w:eastAsia="Arial" w:hAnsi="Arial"/>
                <w:color w:val="B87800"/>
                <w:sz w:val="20"/>
                <w:szCs w:val="20"/>
              </w:rPr>
              <w:t xml:space="preserve">A global average would be meaningless — a Pendant Holder listing and a Cable Tie listing cannot share the same impression benchmark. Each category benchmark is set independently.</w:t>
            </w:r>
          </w:p>
        </w:tc>
      </w:tr>
    </w:tbl>
    <w:p>
      <w:pPr>
        <w:spacing w:after="100" w:before="0"/>
        <w:jc w:val="left"/>
      </w:pPr>
      <w:r>
        <w:rPr>
          <w:rFonts w:ascii="Arial" w:cs="Arial" w:eastAsia="Arial" w:hAnsi="Arial"/>
          <w:sz w:val="20"/>
          <w:szCs w:val="20"/>
        </w:rPr>
        <w:t xml:space="preserve"/>
      </w:r>
    </w:p>
    <w:p>
      <w:pPr>
        <w:pStyle w:val="Heading3"/>
        <w:spacing w:after="80" w:before="160"/>
      </w:pPr>
      <w:r>
        <w:rPr>
          <w:rFonts w:ascii="Arial" w:cs="Arial" w:eastAsia="Arial" w:hAnsi="Arial"/>
          <w:b/>
          <w:bCs/>
          <w:color w:val="5A6272"/>
          <w:sz w:val="20"/>
          <w:szCs w:val="20"/>
        </w:rPr>
        <w:t xml:space="preserve">How the Benchmark is Calculated:</w:t>
      </w:r>
    </w:p>
    <w:p>
      <w:pPr>
        <w:pStyle w:val="ListParagraph"/>
        <w:numPr>
          <w:ilvl w:val="0"/>
          <w:numId w:val="3"/>
        </w:numPr>
        <w:spacing w:after="80" w:before="0"/>
      </w:pPr>
      <w:r>
        <w:rPr>
          <w:rFonts w:ascii="Arial" w:cs="Arial" w:eastAsia="Arial" w:hAnsi="Arial"/>
          <w:sz w:val="20"/>
          <w:szCs w:val="20"/>
        </w:rPr>
        <w:t xml:space="preserve">Identify all categories owned by the PH (e.g. Jasmini → Category A: Cable, Category B: Cable Ties).</w:t>
      </w:r>
    </w:p>
    <w:p>
      <w:pPr>
        <w:pStyle w:val="ListParagraph"/>
        <w:numPr>
          <w:ilvl w:val="0"/>
          <w:numId w:val="3"/>
        </w:numPr>
        <w:spacing w:after="80" w:before="0"/>
      </w:pPr>
      <w:r>
        <w:rPr>
          <w:rFonts w:ascii="Arial" w:cs="Arial" w:eastAsia="Arial" w:hAnsi="Arial"/>
          <w:sz w:val="20"/>
          <w:szCs w:val="20"/>
        </w:rPr>
        <w:t xml:space="preserve">For each category, retrieve the top 30 ASINs by units sold in the last 30 days from order_transaction.</w:t>
      </w:r>
    </w:p>
    <w:p>
      <w:pPr>
        <w:pStyle w:val="ListParagraph"/>
        <w:numPr>
          <w:ilvl w:val="0"/>
          <w:numId w:val="3"/>
        </w:numPr>
        <w:spacing w:after="80" w:before="0"/>
      </w:pPr>
      <w:r>
        <w:rPr>
          <w:rFonts w:ascii="Arial" w:cs="Arial" w:eastAsia="Arial" w:hAnsi="Arial"/>
          <w:sz w:val="20"/>
          <w:szCs w:val="20"/>
        </w:rPr>
        <w:t xml:space="preserve">If fewer than 30 ASINs have sales in that category, use the top 10 sold ASINs instead (minimum threshold).</w:t>
      </w:r>
    </w:p>
    <w:p>
      <w:pPr>
        <w:pStyle w:val="ListParagraph"/>
        <w:numPr>
          <w:ilvl w:val="0"/>
          <w:numId w:val="3"/>
        </w:numPr>
        <w:spacing w:after="80" w:before="0"/>
      </w:pPr>
      <w:r>
        <w:rPr>
          <w:rFonts w:ascii="Arial" w:cs="Arial" w:eastAsia="Arial" w:hAnsi="Arial"/>
          <w:sz w:val="20"/>
          <w:szCs w:val="20"/>
        </w:rPr>
        <w:t xml:space="preserve">Calculate the average Impression, Click, and CVR across those top 30 (or 10) ASINs.</w:t>
      </w:r>
    </w:p>
    <w:p>
      <w:pPr>
        <w:pStyle w:val="ListParagraph"/>
        <w:numPr>
          <w:ilvl w:val="0"/>
          <w:numId w:val="3"/>
        </w:numPr>
        <w:spacing w:after="80" w:before="0"/>
      </w:pPr>
      <w:r>
        <w:rPr>
          <w:rFonts w:ascii="Arial" w:cs="Arial" w:eastAsia="Arial" w:hAnsi="Arial"/>
          <w:sz w:val="20"/>
          <w:szCs w:val="20"/>
        </w:rPr>
        <w:t xml:space="preserve">That average becomes the benchmark: ASINs above it = HIGH, ASINs below it = LOW.</w:t>
      </w:r>
    </w:p>
    <w:p>
      <w:pPr>
        <w:pStyle w:val="ListParagraph"/>
        <w:numPr>
          <w:ilvl w:val="0"/>
          <w:numId w:val="3"/>
        </w:numPr>
        <w:spacing w:after="80" w:before="0"/>
      </w:pPr>
      <w:r>
        <w:rPr>
          <w:rFonts w:ascii="Arial" w:cs="Arial" w:eastAsia="Arial" w:hAnsi="Arial"/>
          <w:sz w:val="20"/>
          <w:szCs w:val="20"/>
        </w:rPr>
        <w:t xml:space="preserve">All benchmarks are recalculated fresh every month on the 1st. They are not fixed.</w:t>
      </w:r>
    </w:p>
    <w:p>
      <w:pPr>
        <w:pStyle w:val="ListParagraph"/>
        <w:numPr>
          <w:ilvl w:val="0"/>
          <w:numId w:val="3"/>
        </w:numPr>
        <w:spacing w:after="80" w:before="0"/>
      </w:pPr>
      <w:r>
        <w:rPr>
          <w:rFonts w:ascii="Arial" w:cs="Arial" w:eastAsia="Arial" w:hAnsi="Arial"/>
          <w:sz w:val="20"/>
          <w:szCs w:val="20"/>
        </w:rPr>
        <w:t xml:space="preserve">Each PH can see their own category benchmarks in their personal tab in the HTML report.</w:t>
      </w:r>
    </w:p>
    <w:p>
      <w:pPr>
        <w:spacing w:after="80" w:before="0"/>
        <w:jc w:val="left"/>
      </w:pPr>
      <w:r>
        <w:rPr>
          <w:rFonts w:ascii="Arial" w:cs="Arial" w:eastAsia="Arial" w:hAnsi="Arial"/>
          <w:sz w:val="20"/>
          <w:szCs w:val="20"/>
        </w:rPr>
        <w:t xml:space="preserve"/>
      </w:r>
    </w:p>
    <w:p>
      <w:pPr>
        <w:pStyle w:val="Heading3"/>
        <w:spacing w:after="80" w:before="160"/>
      </w:pPr>
      <w:r>
        <w:rPr>
          <w:rFonts w:ascii="Arial" w:cs="Arial" w:eastAsia="Arial" w:hAnsi="Arial"/>
          <w:b/>
          <w:bCs/>
          <w:color w:val="5A6272"/>
          <w:sz w:val="20"/>
          <w:szCs w:val="20"/>
        </w:rPr>
        <w:t xml:space="preserve">Example — Jasmini (Two Categories):</w:t>
      </w:r>
    </w:p>
    <w:tbl>
      <w:tblPr>
        <w:tblW w:type="dxa" w:w="126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000"/>
        <w:gridCol w:w="1500"/>
        <w:gridCol w:w="1300"/>
        <w:gridCol w:w="2200"/>
        <w:gridCol w:w="2200"/>
      </w:tblGrid>
      <w:tr>
        <w:trPr>
          <w:tblHeader/>
        </w:trPr>
        <w:tc>
          <w:tcPr>
            <w:tcW w:type="dxa" w:w="200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Category</w:t>
            </w:r>
          </w:p>
        </w:tc>
        <w:tc>
          <w:tcPr>
            <w:tcW w:type="dxa" w:w="140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Top N Used</w:t>
            </w:r>
          </w:p>
        </w:tc>
        <w:tc>
          <w:tcPr>
            <w:tcW w:type="dxa" w:w="200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Avg Impression</w:t>
            </w:r>
          </w:p>
        </w:tc>
        <w:tc>
          <w:tcPr>
            <w:tcW w:type="dxa" w:w="150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Avg Clicks</w:t>
            </w:r>
          </w:p>
        </w:tc>
        <w:tc>
          <w:tcPr>
            <w:tcW w:type="dxa" w:w="130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Avg CVR</w:t>
            </w:r>
          </w:p>
        </w:tc>
        <w:tc>
          <w:tcPr>
            <w:tcW w:type="dxa" w:w="220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HIGH threshold</w:t>
            </w:r>
          </w:p>
        </w:tc>
        <w:tc>
          <w:tcPr>
            <w:tcW w:type="dxa" w:w="220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LOW threshold</w:t>
            </w:r>
          </w:p>
        </w:tc>
      </w:tr>
      <w:tr>
        <w:tc>
          <w:tcPr>
            <w:tcW w:type="dxa" w:w="20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Cable (Category A)</w:t>
            </w:r>
          </w:p>
        </w:tc>
        <w:tc>
          <w:tcPr>
            <w:tcW w:type="dxa" w:w="14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Top 30</w:t>
            </w:r>
          </w:p>
        </w:tc>
        <w:tc>
          <w:tcPr>
            <w:tcW w:type="dxa" w:w="20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8,400</w:t>
            </w:r>
          </w:p>
        </w:tc>
        <w:tc>
          <w:tcPr>
            <w:tcW w:type="dxa" w:w="15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290</w:t>
            </w:r>
          </w:p>
        </w:tc>
        <w:tc>
          <w:tcPr>
            <w:tcW w:type="dxa" w:w="13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4.8%</w:t>
            </w:r>
          </w:p>
        </w:tc>
        <w:tc>
          <w:tcPr>
            <w:tcW w:type="dxa" w:w="22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 8,400 / ≥ 290 / ≥ 4.8%</w:t>
            </w:r>
          </w:p>
        </w:tc>
        <w:tc>
          <w:tcPr>
            <w:tcW w:type="dxa" w:w="22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&lt; 8,400 / &lt; 290 / &lt; 4.8%</w:t>
            </w:r>
          </w:p>
        </w:tc>
      </w:tr>
      <w:tr>
        <w:tc>
          <w:tcPr>
            <w:tcW w:type="dxa" w:w="20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Cable Ties (Cat B)</w:t>
            </w:r>
          </w:p>
        </w:tc>
        <w:tc>
          <w:tcPr>
            <w:tcW w:type="dxa" w:w="14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Top 30</w:t>
            </w:r>
          </w:p>
        </w:tc>
        <w:tc>
          <w:tcPr>
            <w:tcW w:type="dxa" w:w="20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3,200</w:t>
            </w:r>
          </w:p>
        </w:tc>
        <w:tc>
          <w:tcPr>
            <w:tcW w:type="dxa" w:w="15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140</w:t>
            </w:r>
          </w:p>
        </w:tc>
        <w:tc>
          <w:tcPr>
            <w:tcW w:type="dxa" w:w="13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6.1%</w:t>
            </w:r>
          </w:p>
        </w:tc>
        <w:tc>
          <w:tcPr>
            <w:tcW w:type="dxa" w:w="22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 3,200 / ≥ 140 / ≥ 6.1%</w:t>
            </w:r>
          </w:p>
        </w:tc>
        <w:tc>
          <w:tcPr>
            <w:tcW w:type="dxa" w:w="22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&lt; 3,200 / &lt; 140 / &lt; 6.1%</w:t>
            </w:r>
          </w:p>
        </w:tc>
      </w:tr>
    </w:tbl>
    <w:p>
      <w:pPr>
        <w:spacing w:after="60" w:before="0"/>
        <w:jc w:val="left"/>
      </w:pPr>
      <w:r>
        <w:rPr>
          <w:rFonts w:ascii="Arial" w:cs="Arial" w:eastAsia="Arial" w:hAnsi="Arial"/>
          <w:sz w:val="20"/>
          <w:szCs w:val="20"/>
        </w:rPr>
        <w:t xml:space="preserve"/>
      </w:r>
    </w:p>
    <w:p>
      <w:pPr>
        <w:spacing w:after="0" w:before="0"/>
        <w:jc w:val="left"/>
      </w:pPr>
      <w:r>
        <w:rPr>
          <w:rFonts w:ascii="Arial" w:cs="Arial" w:eastAsia="Arial" w:hAnsi="Arial"/>
          <w:i/>
          <w:iCs/>
          <w:color w:val="5A6272"/>
          <w:sz w:val="20"/>
          <w:szCs w:val="20"/>
        </w:rPr>
        <w:t xml:space="preserve">Each ASIN belonging to Jasmini is checked against the benchmark of its own category only. An ASIN from Cable is never evaluated against the Cable Ties benchmark.</w:t>
      </w:r>
    </w:p>
    <w:p>
      <w:pPr>
        <w:spacing w:after="120" w:before="0"/>
        <w:jc w:val="left"/>
      </w:pPr>
      <w:r>
        <w:rPr>
          <w:rFonts w:ascii="Arial" w:cs="Arial" w:eastAsia="Arial" w:hAnsi="Arial"/>
          <w:sz w:val="20"/>
          <w:szCs w:val="20"/>
        </w:rPr>
        <w:t xml:space="preserve"/>
      </w:r>
    </w:p>
    <w:p>
      <w:pPr>
        <w:pStyle w:val="Heading2"/>
        <w:spacing w:after="120" w:before="240"/>
      </w:pPr>
      <w:r>
        <w:rPr>
          <w:rFonts w:ascii="Arial" w:cs="Arial" w:eastAsia="Arial" w:hAnsi="Arial"/>
          <w:b/>
          <w:bCs/>
          <w:color w:val="1A1D23"/>
          <w:sz w:val="24"/>
          <w:szCs w:val="24"/>
        </w:rPr>
        <w:t xml:space="preserve">2.3 Movement Tracking — Month-over-Month</w:t>
      </w:r>
    </w:p>
    <w:p>
      <w:pPr>
        <w:spacing w:after="80" w:before="0"/>
        <w:jc w:val="left"/>
      </w:pPr>
      <w:r>
        <w:rPr>
          <w:rFonts w:ascii="Arial" w:cs="Arial" w:eastAsia="Arial" w:hAnsi="Arial"/>
          <w:sz w:val="20"/>
          <w:szCs w:val="20"/>
        </w:rPr>
        <w:t xml:space="preserve">Every month, the report shows where each ASIN was last month versus where it is this month. This gives instant visibility of whether actions taken are working.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4000"/>
        <w:gridCol w:w="3080"/>
      </w:tblGrid>
      <w:tr>
        <w:trPr>
          <w:tblHeader/>
        </w:trPr>
        <w:tc>
          <w:tcPr>
            <w:tcW w:type="dxa" w:w="160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Movement</w:t>
            </w:r>
          </w:p>
        </w:tc>
        <w:tc>
          <w:tcPr>
            <w:tcW w:type="dxa" w:w="140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Symbol</w:t>
            </w:r>
          </w:p>
        </w:tc>
        <w:tc>
          <w:tcPr>
            <w:tcW w:type="dxa" w:w="400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Meaning</w:t>
            </w:r>
          </w:p>
        </w:tc>
        <w:tc>
          <w:tcPr>
            <w:tcW w:type="dxa" w:w="308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Bietrick Action</w:t>
            </w:r>
          </w:p>
        </w:tc>
      </w:tr>
      <w:tr>
        <w:tc>
          <w:tcPr>
            <w:tcW w:type="dxa" w:w="16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Improved</w:t>
            </w:r>
          </w:p>
        </w:tc>
        <w:tc>
          <w:tcPr>
            <w:tcW w:type="dxa" w:w="14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 Green</w:t>
            </w:r>
          </w:p>
        </w:tc>
        <w:tc>
          <w:tcPr>
            <w:tcW w:type="dxa" w:w="40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ASIN moved to a higher-performing segment</w:t>
            </w:r>
          </w:p>
        </w:tc>
        <w:tc>
          <w:tcPr>
            <w:tcW w:type="dxa" w:w="308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Acknowledge. Continue current actions.</w:t>
            </w:r>
          </w:p>
        </w:tc>
      </w:tr>
      <w:tr>
        <w:tc>
          <w:tcPr>
            <w:tcW w:type="dxa" w:w="16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Same</w:t>
            </w:r>
          </w:p>
        </w:tc>
        <w:tc>
          <w:tcPr>
            <w:tcW w:type="dxa" w:w="14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 Grey</w:t>
            </w:r>
          </w:p>
        </w:tc>
        <w:tc>
          <w:tcPr>
            <w:tcW w:type="dxa" w:w="40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ASIN stayed in the same segment</w:t>
            </w:r>
          </w:p>
        </w:tc>
        <w:tc>
          <w:tcPr>
            <w:tcW w:type="dxa" w:w="308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Review: is the action plan being executed?</w:t>
            </w:r>
          </w:p>
        </w:tc>
      </w:tr>
      <w:tr>
        <w:tc>
          <w:tcPr>
            <w:tcW w:type="dxa" w:w="16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Declined</w:t>
            </w:r>
          </w:p>
        </w:tc>
        <w:tc>
          <w:tcPr>
            <w:tcW w:type="dxa" w:w="14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 Red</w:t>
            </w:r>
          </w:p>
        </w:tc>
        <w:tc>
          <w:tcPr>
            <w:tcW w:type="dxa" w:w="40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ASIN moved to a lower-performing segment</w:t>
            </w:r>
          </w:p>
        </w:tc>
        <w:tc>
          <w:tcPr>
            <w:tcW w:type="dxa" w:w="308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Escalate. Investigate root cause immediately.</w:t>
            </w:r>
          </w:p>
        </w:tc>
      </w:tr>
      <w:tr>
        <w:tc>
          <w:tcPr>
            <w:tcW w:type="dxa" w:w="16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New</w:t>
            </w:r>
          </w:p>
        </w:tc>
        <w:tc>
          <w:tcPr>
            <w:tcW w:type="dxa" w:w="14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 Blue</w:t>
            </w:r>
          </w:p>
        </w:tc>
        <w:tc>
          <w:tcPr>
            <w:tcW w:type="dxa" w:w="40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ASIN appears for the first time this month</w:t>
            </w:r>
          </w:p>
        </w:tc>
        <w:tc>
          <w:tcPr>
            <w:tcW w:type="dxa" w:w="308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Assign segment action plan immediately.</w:t>
            </w:r>
          </w:p>
        </w:tc>
      </w:tr>
    </w:tbl>
    <w:p>
      <w:pPr>
        <w:spacing w:after="80" w:before="0"/>
        <w:jc w:val="left"/>
      </w:pPr>
      <w:r>
        <w:rPr>
          <w:rFonts w:ascii="Arial" w:cs="Arial" w:eastAsia="Arial" w:hAnsi="Arial"/>
          <w:sz w:val="20"/>
          <w:szCs w:val="20"/>
        </w:rPr>
        <w:t xml:space="preserve"/>
      </w:r>
    </w:p>
    <w:p>
      <w:pPr>
        <w:spacing w:after="0" w:before="0"/>
        <w:jc w:val="left"/>
      </w:pPr>
      <w:r>
        <w:rPr>
          <w:rFonts w:ascii="Arial" w:cs="Arial" w:eastAsia="Arial" w:hAnsi="Arial"/>
          <w:i/>
          <w:iCs/>
          <w:color w:val="5A6272"/>
          <w:sz w:val="20"/>
          <w:szCs w:val="20"/>
        </w:rPr>
        <w:t xml:space="preserve">Movement is calculated by comparing this month's segment (last 30 days) against last month's segment (the 30 days before that — i.e. days 31–60 in the data window). No fixed starting point is used. Movement is always relative to the immediately preceding period.</w:t>
      </w:r>
    </w:p>
    <w:p>
      <w:pPr>
        <w:spacing w:after="120" w:before="0"/>
        <w:jc w:val="left"/>
      </w:pPr>
      <w:r>
        <w:rPr>
          <w:rFonts w:ascii="Arial" w:cs="Arial" w:eastAsia="Arial" w:hAnsi="Arial"/>
          <w:sz w:val="20"/>
          <w:szCs w:val="20"/>
        </w:rPr>
        <w:t xml:space="preserve"/>
      </w:r>
    </w:p>
    <w:p>
      <w:pPr>
        <w:pStyle w:val="Heading1"/>
        <w:pBdr>
          <w:bottom w:val="single" w:color="C0392B" w:sz="6" w:space="4"/>
        </w:pBdr>
        <w:spacing w:after="160" w:before="320"/>
      </w:pPr>
      <w:r>
        <w:rPr>
          <w:rFonts w:ascii="Arial" w:cs="Arial" w:eastAsia="Arial" w:hAnsi="Arial"/>
          <w:b/>
          <w:bCs/>
          <w:color w:val="C0392B"/>
          <w:sz w:val="28"/>
          <w:szCs w:val="28"/>
        </w:rPr>
        <w:t xml:space="preserve">3. THE SIX SEGMENT PROFILES — EXPLANATIONS &amp; ACTION PLANS</w:t>
      </w:r>
    </w:p>
    <w:p>
      <w:pPr>
        <w:spacing w:after="120" w:before="0"/>
        <w:jc w:val="left"/>
      </w:pPr>
      <w:r>
        <w:rPr>
          <w:rFonts w:ascii="Arial" w:cs="Arial" w:eastAsia="Arial" w:hAnsi="Arial"/>
          <w:sz w:val="20"/>
          <w:szCs w:val="20"/>
        </w:rPr>
        <w:t xml:space="preserve">Each segment has a defined explanation, improvement potential, action plan, measurement criteria, and kill criteria. These are the instructions Bietrick and sub-leaders issue to PHs when an ASIN falls into that segment.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none" w:color="FFFFFF" w:sz="0"/>
              <w:left w:val="single" w:color="1A8A4A" w:sz="16"/>
              <w:bottom w:val="none" w:color="FFFFFF" w:sz="0"/>
              <w:right w:val="none" w:color="FFFFFF" w:sz="0"/>
            </w:tcBorders>
            <w:shd w:fill="E8F7EE" w:val="clear"/>
            <w:tcMar>
              <w:top w:type="dxa" w:w="120"/>
              <w:left w:type="dxa" w:w="160"/>
              <w:bottom w:type="dxa" w:w="120"/>
              <w:right w:type="dxa" w:w="120"/>
            </w:tcMar>
            <w:vAlign w:val="top"/>
          </w:tcPr>
          <w:p>
            <w:pPr>
              <w:spacing w:after="30" w:before="0"/>
              <w:jc w:val="left"/>
            </w:pPr>
            <w:r>
              <w:rPr>
                <w:rFonts w:ascii="Arial" w:cs="Arial" w:eastAsia="Arial" w:hAnsi="Arial"/>
                <w:b/>
                <w:bCs/>
                <w:color w:val="1A8A4A"/>
                <w:sz w:val="26"/>
                <w:szCs w:val="26"/>
              </w:rPr>
              <w:t xml:space="preserve">HHH</w:t>
            </w:r>
          </w:p>
          <w:p>
            <w:pPr>
              <w:spacing w:after="0" w:before="0"/>
              <w:jc w:val="left"/>
            </w:pPr>
            <w:r>
              <w:rPr>
                <w:rFonts w:ascii="Arial" w:cs="Arial" w:eastAsia="Arial" w:hAnsi="Arial"/>
                <w:color w:val="1A8A4A"/>
                <w:sz w:val="18"/>
                <w:szCs w:val="18"/>
              </w:rPr>
              <w:t xml:space="preserve">High Impression · High Click · High Conversion</w:t>
            </w:r>
          </w:p>
        </w:tc>
        <w:tc>
          <w:tcPr>
            <w:tcW w:type="dxa" w:w="2880"/>
            <w:tcBorders>
              <w:top w:val="none" w:color="FFFFFF" w:sz="0"/>
              <w:left w:val="none" w:color="FFFFFF" w:sz="0"/>
              <w:bottom w:val="none" w:color="FFFFFF" w:sz="0"/>
              <w:right w:val="none" w:color="FFFFFF" w:sz="0"/>
            </w:tcBorders>
            <w:shd w:fill="1A8A4A" w:val="clear"/>
            <w:tcMar>
              <w:top w:type="dxa" w:w="120"/>
              <w:left w:type="dxa" w:w="80"/>
              <w:bottom w:type="dxa" w:w="120"/>
              <w:right w:type="dxa" w:w="80"/>
            </w:tcMar>
            <w:vAlign w:val="center"/>
          </w:tcPr>
          <w:p>
            <w:pPr>
              <w:spacing w:after="30" w:before="0"/>
              <w:jc w:val="center"/>
            </w:pPr>
            <w:r>
              <w:rPr>
                <w:rFonts w:ascii="Arial" w:cs="Arial" w:eastAsia="Arial" w:hAnsi="Arial"/>
                <w:b/>
                <w:bCs/>
                <w:color w:val="FFFFFF"/>
                <w:sz w:val="18"/>
                <w:szCs w:val="18"/>
              </w:rPr>
              <w:t xml:space="preserve">Dashboard: ● Green</w:t>
            </w:r>
          </w:p>
          <w:p>
            <w:pPr>
              <w:spacing w:after="0" w:before="0"/>
              <w:jc w:val="center"/>
            </w:pPr>
            <w:r>
              <w:rPr>
                <w:rFonts w:ascii="Arial" w:cs="Arial" w:eastAsia="Arial" w:hAnsi="Arial"/>
                <w:color w:val="FFFFFF"/>
                <w:sz w:val="16"/>
                <w:szCs w:val="16"/>
              </w:rPr>
              <w:t xml:space="preserve">Priority: Scale</w:t>
            </w:r>
          </w:p>
        </w:tc>
      </w:tr>
    </w:tbl>
    <w:p>
      <w:pPr>
        <w:spacing w:after="60" w:before="0"/>
        <w:jc w:val="left"/>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1D23" w:sz="2"/>
              <w:left w:val="single" w:color="1A1D23" w:sz="2"/>
              <w:bottom w:val="single" w:color="1A1D23" w:sz="2"/>
              <w:right w:val="single" w:color="1A1D23" w:sz="2"/>
            </w:tcBorders>
            <w:shd w:fill="1A1D23" w:val="clear"/>
            <w:tcMar>
              <w:top w:type="dxa" w:w="60"/>
              <w:left w:type="dxa" w:w="120"/>
              <w:bottom w:type="dxa" w:w="60"/>
              <w:right w:type="dxa" w:w="120"/>
            </w:tcMar>
            <w:vAlign w:val="top"/>
          </w:tcPr>
          <w:p>
            <w:pPr>
              <w:spacing w:after="0" w:before="0"/>
              <w:jc w:val="left"/>
            </w:pPr>
            <w:r>
              <w:rPr>
                <w:rFonts w:ascii="Arial" w:cs="Arial" w:eastAsia="Arial" w:hAnsi="Arial"/>
                <w:b/>
                <w:bCs/>
                <w:color w:val="FFFFFF"/>
                <w:sz w:val="18"/>
                <w:szCs w:val="18"/>
              </w:rPr>
              <w:t xml:space="preserve">A. WHY THIS IS HAPPENING</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Strong product–market fit: the listing is highly visible, compelling, and converts well.</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Strong keyword optimisation driving high search visibility.</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Compelling main image and title generating high click-through.</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High-quality product detail page convincing customers to purchase.</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Positive reviews, competitive pricing, and good fulfilment.</w:t>
            </w:r>
          </w:p>
        </w:tc>
      </w:tr>
    </w:tbl>
    <w:p>
      <w:pPr>
        <w:spacing w:after="60" w:before="0"/>
        <w:jc w:val="left"/>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1D23" w:sz="2"/>
              <w:left w:val="single" w:color="1A1D23" w:sz="2"/>
              <w:bottom w:val="single" w:color="1A1D23" w:sz="2"/>
              <w:right w:val="single" w:color="1A1D23" w:sz="2"/>
            </w:tcBorders>
            <w:shd w:fill="1A1D23" w:val="clear"/>
            <w:tcMar>
              <w:top w:type="dxa" w:w="60"/>
              <w:left w:type="dxa" w:w="120"/>
              <w:bottom w:type="dxa" w:w="60"/>
              <w:right w:type="dxa" w:w="120"/>
            </w:tcMar>
            <w:vAlign w:val="top"/>
          </w:tcPr>
          <w:p>
            <w:pPr>
              <w:spacing w:after="0" w:before="0"/>
              <w:jc w:val="left"/>
            </w:pPr>
            <w:r>
              <w:rPr>
                <w:rFonts w:ascii="Arial" w:cs="Arial" w:eastAsia="Arial" w:hAnsi="Arial"/>
                <w:b/>
                <w:bCs/>
                <w:color w:val="FFFFFF"/>
                <w:sz w:val="18"/>
                <w:szCs w:val="18"/>
              </w:rPr>
              <w:t xml:space="preserve">B. POTENTIAL TO IMPROVE</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Market expansion: tap new customer segments or international markets.</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Upselling and cross-selling to increase average order value (AOV).</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Improve ROAS by refining ad campaigns on this already-proven ASIN.</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Inventory forecasting to avoid stockouts on high-velocity ASINs.</w:t>
            </w:r>
          </w:p>
        </w:tc>
      </w:tr>
    </w:tbl>
    <w:p>
      <w:pPr>
        <w:spacing w:after="60" w:before="0"/>
        <w:jc w:val="left"/>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1D23" w:sz="2"/>
              <w:left w:val="single" w:color="1A1D23" w:sz="2"/>
              <w:bottom w:val="single" w:color="1A1D23" w:sz="2"/>
              <w:right w:val="single" w:color="1A1D23" w:sz="2"/>
            </w:tcBorders>
            <w:shd w:fill="1A1D23" w:val="clear"/>
            <w:tcMar>
              <w:top w:type="dxa" w:w="60"/>
              <w:left w:type="dxa" w:w="120"/>
              <w:bottom w:type="dxa" w:w="60"/>
              <w:right w:type="dxa" w:w="120"/>
            </w:tcMar>
            <w:vAlign w:val="top"/>
          </w:tcPr>
          <w:p>
            <w:pPr>
              <w:spacing w:after="0" w:before="0"/>
              <w:jc w:val="left"/>
            </w:pPr>
            <w:r>
              <w:rPr>
                <w:rFonts w:ascii="Arial" w:cs="Arial" w:eastAsia="Arial" w:hAnsi="Arial"/>
                <w:b/>
                <w:bCs/>
                <w:color w:val="FFFFFF"/>
                <w:sz w:val="18"/>
                <w:szCs w:val="18"/>
              </w:rPr>
              <w:t xml:space="preserve">C. ACTION PLAN</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Expand keyword portfolio — long-tail keywords, backend search terms, emerging trends.</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Add rich media: videos, lifestyle images, 360-degree views.</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Increase ad spend — this ASIN has proven ROI. Scale carefully.</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Push into B2B or global channels via Amazon's fulfilment network.</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Introduce Subscribe &amp; Save or bundling to increase repeat purchase rate.</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Review pricing monthly — if margin falls below 15%, recheck pricing strategy.</w:t>
            </w:r>
          </w:p>
        </w:tc>
      </w:tr>
    </w:tbl>
    <w:p>
      <w:pPr>
        <w:spacing w:after="60" w:before="0"/>
        <w:jc w:val="left"/>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1D23" w:sz="2"/>
              <w:left w:val="single" w:color="1A1D23" w:sz="2"/>
              <w:bottom w:val="single" w:color="1A1D23" w:sz="2"/>
              <w:right w:val="single" w:color="1A1D23" w:sz="2"/>
            </w:tcBorders>
            <w:shd w:fill="1A1D23" w:val="clear"/>
            <w:tcMar>
              <w:top w:type="dxa" w:w="60"/>
              <w:left w:type="dxa" w:w="120"/>
              <w:bottom w:type="dxa" w:w="60"/>
              <w:right w:type="dxa" w:w="120"/>
            </w:tcMar>
            <w:vAlign w:val="top"/>
          </w:tcPr>
          <w:p>
            <w:pPr>
              <w:spacing w:after="0" w:before="0"/>
              <w:jc w:val="left"/>
            </w:pPr>
            <w:r>
              <w:rPr>
                <w:rFonts w:ascii="Arial" w:cs="Arial" w:eastAsia="Arial" w:hAnsi="Arial"/>
                <w:b/>
                <w:bCs/>
                <w:color w:val="FFFFFF"/>
                <w:sz w:val="18"/>
                <w:szCs w:val="18"/>
              </w:rPr>
              <w:t xml:space="preserve">D. HOW TO MEASURE IMPROVEMENT</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Net profit trending upward or stable month-over-month.</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ROAS stable or improving as ad spend scales.</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Repeat purchase rate increasing.</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Conversion rate maintained at current level or above.</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AOV increasing from bundle or upsell actions.</w:t>
            </w:r>
          </w:p>
        </w:tc>
      </w:tr>
    </w:tbl>
    <w:p>
      <w:pPr>
        <w:spacing w:after="60" w:before="0"/>
        <w:jc w:val="left"/>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0392B" w:sz="12"/>
              <w:bottom w:val="none" w:color="FFFFFF" w:sz="0"/>
              <w:right w:val="none" w:color="FFFFFF" w:sz="0"/>
            </w:tcBorders>
            <w:shd w:fill="FDF0EF" w:val="clear"/>
            <w:tcMar>
              <w:top w:type="dxa" w:w="100"/>
              <w:left w:type="dxa" w:w="160"/>
              <w:bottom w:type="dxa" w:w="100"/>
              <w:right w:type="dxa" w:w="120"/>
            </w:tcMar>
            <w:vAlign w:val="top"/>
          </w:tcPr>
          <w:p>
            <w:pPr>
              <w:spacing w:after="0" w:before="0"/>
              <w:jc w:val="left"/>
            </w:pPr>
            <w:r>
              <w:rPr>
                <w:rFonts w:ascii="Arial" w:cs="Arial" w:eastAsia="Arial" w:hAnsi="Arial"/>
                <w:b/>
                <w:bCs/>
                <w:color w:val="C0392B"/>
                <w:sz w:val="18"/>
                <w:szCs w:val="18"/>
              </w:rPr>
              <w:t xml:space="preserve">⚠  KILL CRITERIA: If profit margin falls below 15% for 30 consecutive days → mandatory pricing review before next cycle.</w:t>
            </w:r>
          </w:p>
        </w:tc>
      </w:tr>
    </w:tbl>
    <w:p>
      <w:pPr>
        <w:spacing w:after="100" w:before="0"/>
        <w:jc w:val="left"/>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none" w:color="FFFFFF" w:sz="0"/>
              <w:left w:val="single" w:color="B87800" w:sz="16"/>
              <w:bottom w:val="none" w:color="FFFFFF" w:sz="0"/>
              <w:right w:val="none" w:color="FFFFFF" w:sz="0"/>
            </w:tcBorders>
            <w:shd w:fill="FFFBF0" w:val="clear"/>
            <w:tcMar>
              <w:top w:type="dxa" w:w="120"/>
              <w:left w:type="dxa" w:w="160"/>
              <w:bottom w:type="dxa" w:w="120"/>
              <w:right w:type="dxa" w:w="120"/>
            </w:tcMar>
            <w:vAlign w:val="top"/>
          </w:tcPr>
          <w:p>
            <w:pPr>
              <w:spacing w:after="30" w:before="0"/>
              <w:jc w:val="left"/>
            </w:pPr>
            <w:r>
              <w:rPr>
                <w:rFonts w:ascii="Arial" w:cs="Arial" w:eastAsia="Arial" w:hAnsi="Arial"/>
                <w:b/>
                <w:bCs/>
                <w:color w:val="B87800"/>
                <w:sz w:val="26"/>
                <w:szCs w:val="26"/>
              </w:rPr>
              <w:t xml:space="preserve">HHL</w:t>
            </w:r>
          </w:p>
          <w:p>
            <w:pPr>
              <w:spacing w:after="0" w:before="0"/>
              <w:jc w:val="left"/>
            </w:pPr>
            <w:r>
              <w:rPr>
                <w:rFonts w:ascii="Arial" w:cs="Arial" w:eastAsia="Arial" w:hAnsi="Arial"/>
                <w:color w:val="B87800"/>
                <w:sz w:val="18"/>
                <w:szCs w:val="18"/>
              </w:rPr>
              <w:t xml:space="preserve">High Impression · High Click · Low Conversion</w:t>
            </w:r>
          </w:p>
        </w:tc>
        <w:tc>
          <w:tcPr>
            <w:tcW w:type="dxa" w:w="2880"/>
            <w:tcBorders>
              <w:top w:val="none" w:color="FFFFFF" w:sz="0"/>
              <w:left w:val="none" w:color="FFFFFF" w:sz="0"/>
              <w:bottom w:val="none" w:color="FFFFFF" w:sz="0"/>
              <w:right w:val="none" w:color="FFFFFF" w:sz="0"/>
            </w:tcBorders>
            <w:shd w:fill="B87800" w:val="clear"/>
            <w:tcMar>
              <w:top w:type="dxa" w:w="120"/>
              <w:left w:type="dxa" w:w="80"/>
              <w:bottom w:type="dxa" w:w="120"/>
              <w:right w:type="dxa" w:w="80"/>
            </w:tcMar>
            <w:vAlign w:val="center"/>
          </w:tcPr>
          <w:p>
            <w:pPr>
              <w:spacing w:after="30" w:before="0"/>
              <w:jc w:val="center"/>
            </w:pPr>
            <w:r>
              <w:rPr>
                <w:rFonts w:ascii="Arial" w:cs="Arial" w:eastAsia="Arial" w:hAnsi="Arial"/>
                <w:b/>
                <w:bCs/>
                <w:color w:val="FFFFFF"/>
                <w:sz w:val="18"/>
                <w:szCs w:val="18"/>
              </w:rPr>
              <w:t xml:space="preserve">Dashboard: ● Amber</w:t>
            </w:r>
          </w:p>
          <w:p>
            <w:pPr>
              <w:spacing w:after="0" w:before="0"/>
              <w:jc w:val="center"/>
            </w:pPr>
            <w:r>
              <w:rPr>
                <w:rFonts w:ascii="Arial" w:cs="Arial" w:eastAsia="Arial" w:hAnsi="Arial"/>
                <w:color w:val="FFFFFF"/>
                <w:sz w:val="16"/>
                <w:szCs w:val="16"/>
              </w:rPr>
              <w:t xml:space="preserve">Priority: Fix Now</w:t>
            </w:r>
          </w:p>
        </w:tc>
      </w:tr>
    </w:tbl>
    <w:p>
      <w:pPr>
        <w:spacing w:after="60" w:before="0"/>
        <w:jc w:val="left"/>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1D23" w:sz="2"/>
              <w:left w:val="single" w:color="1A1D23" w:sz="2"/>
              <w:bottom w:val="single" w:color="1A1D23" w:sz="2"/>
              <w:right w:val="single" w:color="1A1D23" w:sz="2"/>
            </w:tcBorders>
            <w:shd w:fill="1A1D23" w:val="clear"/>
            <w:tcMar>
              <w:top w:type="dxa" w:w="60"/>
              <w:left w:type="dxa" w:w="120"/>
              <w:bottom w:type="dxa" w:w="60"/>
              <w:right w:type="dxa" w:w="120"/>
            </w:tcMar>
            <w:vAlign w:val="top"/>
          </w:tcPr>
          <w:p>
            <w:pPr>
              <w:spacing w:after="0" w:before="0"/>
              <w:jc w:val="left"/>
            </w:pPr>
            <w:r>
              <w:rPr>
                <w:rFonts w:ascii="Arial" w:cs="Arial" w:eastAsia="Arial" w:hAnsi="Arial"/>
                <w:b/>
                <w:bCs/>
                <w:color w:val="FFFFFF"/>
                <w:sz w:val="18"/>
                <w:szCs w:val="18"/>
              </w:rPr>
              <w:t xml:space="preserve">A. WHY THIS IS HAPPENING</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High traffic exists but customers are dropping off at the product detail page.</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Possible product-page mismatch: listing does not fulfil the promise made in search results.</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Pricing may be uncompetitive or unjustified relative to competitors.</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Negative reviews or insufficient review count undermining buyer trust.</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Product may not fully meet market needs or expectations.</w:t>
            </w:r>
          </w:p>
        </w:tc>
      </w:tr>
    </w:tbl>
    <w:p>
      <w:pPr>
        <w:spacing w:after="60" w:before="0"/>
        <w:jc w:val="left"/>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1D23" w:sz="2"/>
              <w:left w:val="single" w:color="1A1D23" w:sz="2"/>
              <w:bottom w:val="single" w:color="1A1D23" w:sz="2"/>
              <w:right w:val="single" w:color="1A1D23" w:sz="2"/>
            </w:tcBorders>
            <w:shd w:fill="1A1D23" w:val="clear"/>
            <w:tcMar>
              <w:top w:type="dxa" w:w="60"/>
              <w:left w:type="dxa" w:w="120"/>
              <w:bottom w:type="dxa" w:w="60"/>
              <w:right w:type="dxa" w:w="120"/>
            </w:tcMar>
            <w:vAlign w:val="top"/>
          </w:tcPr>
          <w:p>
            <w:pPr>
              <w:spacing w:after="0" w:before="0"/>
              <w:jc w:val="left"/>
            </w:pPr>
            <w:r>
              <w:rPr>
                <w:rFonts w:ascii="Arial" w:cs="Arial" w:eastAsia="Arial" w:hAnsi="Arial"/>
                <w:b/>
                <w:bCs/>
                <w:color w:val="FFFFFF"/>
                <w:sz w:val="18"/>
                <w:szCs w:val="18"/>
              </w:rPr>
              <w:t xml:space="preserve">B. POTENTIAL TO IMPROVE</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Huge opportunity — the traffic is already there. Fix conversion and sales scale immediately.</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Small CR improvements can lead to substantial revenue increase with zero extra ad spend.</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Addressing listing issues can also improve organic ranking.</w:t>
            </w:r>
          </w:p>
        </w:tc>
      </w:tr>
    </w:tbl>
    <w:p>
      <w:pPr>
        <w:spacing w:after="60" w:before="0"/>
        <w:jc w:val="left"/>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1D23" w:sz="2"/>
              <w:left w:val="single" w:color="1A1D23" w:sz="2"/>
              <w:bottom w:val="single" w:color="1A1D23" w:sz="2"/>
              <w:right w:val="single" w:color="1A1D23" w:sz="2"/>
            </w:tcBorders>
            <w:shd w:fill="1A1D23" w:val="clear"/>
            <w:tcMar>
              <w:top w:type="dxa" w:w="60"/>
              <w:left w:type="dxa" w:w="120"/>
              <w:bottom w:type="dxa" w:w="60"/>
              <w:right w:type="dxa" w:w="120"/>
            </w:tcMar>
            <w:vAlign w:val="top"/>
          </w:tcPr>
          <w:p>
            <w:pPr>
              <w:spacing w:after="0" w:before="0"/>
              <w:jc w:val="left"/>
            </w:pPr>
            <w:r>
              <w:rPr>
                <w:rFonts w:ascii="Arial" w:cs="Arial" w:eastAsia="Arial" w:hAnsi="Arial"/>
                <w:b/>
                <w:bCs/>
                <w:color w:val="FFFFFF"/>
                <w:sz w:val="18"/>
                <w:szCs w:val="18"/>
              </w:rPr>
              <w:t xml:space="preserve">C. ACTION PLAN</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Revamp product detail page: comprehensive descriptions, benefit-focused bullet points, A+ content.</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Upgrade visual assets: high-quality images, infographics, size/dimension visuals.</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Run A/B tests on images, pricing, and title copy using Amazon's Manage Your Experiments.</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Competitive pricing analysis — use Keepa or similar to benchmark against top competitors.</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Implement limited-time promotions or coupons to drive urgency.</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Enrol in Amazon Vine or Early Reviewer Program to build review count.</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Address all negative reviews with seller response within 48 hours.</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Reduce PPC budget on this ASIN until conversion is fixed — paying for clicks that do not convert is waste.</w:t>
            </w:r>
          </w:p>
        </w:tc>
      </w:tr>
    </w:tbl>
    <w:p>
      <w:pPr>
        <w:spacing w:after="60" w:before="0"/>
        <w:jc w:val="left"/>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1D23" w:sz="2"/>
              <w:left w:val="single" w:color="1A1D23" w:sz="2"/>
              <w:bottom w:val="single" w:color="1A1D23" w:sz="2"/>
              <w:right w:val="single" w:color="1A1D23" w:sz="2"/>
            </w:tcBorders>
            <w:shd w:fill="1A1D23" w:val="clear"/>
            <w:tcMar>
              <w:top w:type="dxa" w:w="60"/>
              <w:left w:type="dxa" w:w="120"/>
              <w:bottom w:type="dxa" w:w="60"/>
              <w:right w:type="dxa" w:w="120"/>
            </w:tcMar>
            <w:vAlign w:val="top"/>
          </w:tcPr>
          <w:p>
            <w:pPr>
              <w:spacing w:after="0" w:before="0"/>
              <w:jc w:val="left"/>
            </w:pPr>
            <w:r>
              <w:rPr>
                <w:rFonts w:ascii="Arial" w:cs="Arial" w:eastAsia="Arial" w:hAnsi="Arial"/>
                <w:b/>
                <w:bCs/>
                <w:color w:val="FFFFFF"/>
                <w:sz w:val="18"/>
                <w:szCs w:val="18"/>
              </w:rPr>
              <w:t xml:space="preserve">D. HOW TO MEASURE IMPROVEMENT</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Unit session percentage (conversion rate) increasing month-over-month.</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PPC ACoS decreasing as conversion improves.</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Review quantity and rating score trending upward.</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Return rates decreasing, indicating improved customer satisfaction.</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Bounce rate declining after listing content improvements.</w:t>
            </w:r>
          </w:p>
        </w:tc>
      </w:tr>
    </w:tbl>
    <w:p>
      <w:pPr>
        <w:spacing w:after="60" w:before="0"/>
        <w:jc w:val="left"/>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0392B" w:sz="12"/>
              <w:bottom w:val="none" w:color="FFFFFF" w:sz="0"/>
              <w:right w:val="none" w:color="FFFFFF" w:sz="0"/>
            </w:tcBorders>
            <w:shd w:fill="FDF0EF" w:val="clear"/>
            <w:tcMar>
              <w:top w:type="dxa" w:w="100"/>
              <w:left w:type="dxa" w:w="160"/>
              <w:bottom w:type="dxa" w:w="100"/>
              <w:right w:type="dxa" w:w="120"/>
            </w:tcMar>
            <w:vAlign w:val="top"/>
          </w:tcPr>
          <w:p>
            <w:pPr>
              <w:spacing w:after="0" w:before="0"/>
              <w:jc w:val="left"/>
            </w:pPr>
            <w:r>
              <w:rPr>
                <w:rFonts w:ascii="Arial" w:cs="Arial" w:eastAsia="Arial" w:hAnsi="Arial"/>
                <w:b/>
                <w:bCs/>
                <w:color w:val="C0392B"/>
                <w:sz w:val="18"/>
                <w:szCs w:val="18"/>
              </w:rPr>
              <w:t xml:space="preserve">⚠  KILL CRITERIA: If conversion rate does not improve by 20% within 60 days of action → cut PPC budget by 50% and escalate to Bietrick for listing review.</w:t>
            </w:r>
          </w:p>
        </w:tc>
      </w:tr>
    </w:tbl>
    <w:p>
      <w:pPr>
        <w:spacing w:after="100" w:before="0"/>
        <w:jc w:val="left"/>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none" w:color="FFFFFF" w:sz="0"/>
              <w:left w:val="single" w:color="1A6E99" w:sz="16"/>
              <w:bottom w:val="none" w:color="FFFFFF" w:sz="0"/>
              <w:right w:val="none" w:color="FFFFFF" w:sz="0"/>
            </w:tcBorders>
            <w:shd w:fill="EAF4FB" w:val="clear"/>
            <w:tcMar>
              <w:top w:type="dxa" w:w="120"/>
              <w:left w:type="dxa" w:w="160"/>
              <w:bottom w:type="dxa" w:w="120"/>
              <w:right w:type="dxa" w:w="120"/>
            </w:tcMar>
            <w:vAlign w:val="top"/>
          </w:tcPr>
          <w:p>
            <w:pPr>
              <w:spacing w:after="30" w:before="0"/>
              <w:jc w:val="left"/>
            </w:pPr>
            <w:r>
              <w:rPr>
                <w:rFonts w:ascii="Arial" w:cs="Arial" w:eastAsia="Arial" w:hAnsi="Arial"/>
                <w:b/>
                <w:bCs/>
                <w:color w:val="1A6E99"/>
                <w:sz w:val="26"/>
                <w:szCs w:val="26"/>
              </w:rPr>
              <w:t xml:space="preserve">HLH</w:t>
            </w:r>
          </w:p>
          <w:p>
            <w:pPr>
              <w:spacing w:after="0" w:before="0"/>
              <w:jc w:val="left"/>
            </w:pPr>
            <w:r>
              <w:rPr>
                <w:rFonts w:ascii="Arial" w:cs="Arial" w:eastAsia="Arial" w:hAnsi="Arial"/>
                <w:color w:val="1A6E99"/>
                <w:sz w:val="18"/>
                <w:szCs w:val="18"/>
              </w:rPr>
              <w:t xml:space="preserve">High Impression · Low Click · High Conversion</w:t>
            </w:r>
          </w:p>
        </w:tc>
        <w:tc>
          <w:tcPr>
            <w:tcW w:type="dxa" w:w="2880"/>
            <w:tcBorders>
              <w:top w:val="none" w:color="FFFFFF" w:sz="0"/>
              <w:left w:val="none" w:color="FFFFFF" w:sz="0"/>
              <w:bottom w:val="none" w:color="FFFFFF" w:sz="0"/>
              <w:right w:val="none" w:color="FFFFFF" w:sz="0"/>
            </w:tcBorders>
            <w:shd w:fill="1A6E99" w:val="clear"/>
            <w:tcMar>
              <w:top w:type="dxa" w:w="120"/>
              <w:left w:type="dxa" w:w="80"/>
              <w:bottom w:type="dxa" w:w="120"/>
              <w:right w:type="dxa" w:w="80"/>
            </w:tcMar>
            <w:vAlign w:val="center"/>
          </w:tcPr>
          <w:p>
            <w:pPr>
              <w:spacing w:after="30" w:before="0"/>
              <w:jc w:val="center"/>
            </w:pPr>
            <w:r>
              <w:rPr>
                <w:rFonts w:ascii="Arial" w:cs="Arial" w:eastAsia="Arial" w:hAnsi="Arial"/>
                <w:b/>
                <w:bCs/>
                <w:color w:val="FFFFFF"/>
                <w:sz w:val="18"/>
                <w:szCs w:val="18"/>
              </w:rPr>
              <w:t xml:space="preserve">Dashboard: ● Amber</w:t>
            </w:r>
          </w:p>
          <w:p>
            <w:pPr>
              <w:spacing w:after="0" w:before="0"/>
              <w:jc w:val="center"/>
            </w:pPr>
            <w:r>
              <w:rPr>
                <w:rFonts w:ascii="Arial" w:cs="Arial" w:eastAsia="Arial" w:hAnsi="Arial"/>
                <w:color w:val="FFFFFF"/>
                <w:sz w:val="16"/>
                <w:szCs w:val="16"/>
              </w:rPr>
              <w:t xml:space="preserve">Priority: Quick Win</w:t>
            </w:r>
          </w:p>
        </w:tc>
      </w:tr>
    </w:tbl>
    <w:p>
      <w:pPr>
        <w:spacing w:after="60" w:before="0"/>
        <w:jc w:val="left"/>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1D23" w:sz="2"/>
              <w:left w:val="single" w:color="1A1D23" w:sz="2"/>
              <w:bottom w:val="single" w:color="1A1D23" w:sz="2"/>
              <w:right w:val="single" w:color="1A1D23" w:sz="2"/>
            </w:tcBorders>
            <w:shd w:fill="1A1D23" w:val="clear"/>
            <w:tcMar>
              <w:top w:type="dxa" w:w="60"/>
              <w:left w:type="dxa" w:w="120"/>
              <w:bottom w:type="dxa" w:w="60"/>
              <w:right w:type="dxa" w:w="120"/>
            </w:tcMar>
            <w:vAlign w:val="top"/>
          </w:tcPr>
          <w:p>
            <w:pPr>
              <w:spacing w:after="0" w:before="0"/>
              <w:jc w:val="left"/>
            </w:pPr>
            <w:r>
              <w:rPr>
                <w:rFonts w:ascii="Arial" w:cs="Arial" w:eastAsia="Arial" w:hAnsi="Arial"/>
                <w:b/>
                <w:bCs/>
                <w:color w:val="FFFFFF"/>
                <w:sz w:val="18"/>
                <w:szCs w:val="18"/>
              </w:rPr>
              <w:t xml:space="preserve">A. WHY THIS IS HAPPENING</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ASIN is visible in search but customers are not clicking through — low CTR.</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Those who do click convert well, proving the product and page are strong.</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Main image or title is likely weak or unattractive relative to competitor search result cards.</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May be appearing for irrelevant search terms, reducing click intent.</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Star rating or review count displayed in search results may be deterring clicks.</w:t>
            </w:r>
          </w:p>
        </w:tc>
      </w:tr>
    </w:tbl>
    <w:p>
      <w:pPr>
        <w:spacing w:after="60" w:before="0"/>
        <w:jc w:val="left"/>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1D23" w:sz="2"/>
              <w:left w:val="single" w:color="1A1D23" w:sz="2"/>
              <w:bottom w:val="single" w:color="1A1D23" w:sz="2"/>
              <w:right w:val="single" w:color="1A1D23" w:sz="2"/>
            </w:tcBorders>
            <w:shd w:fill="1A1D23" w:val="clear"/>
            <w:tcMar>
              <w:top w:type="dxa" w:w="60"/>
              <w:left w:type="dxa" w:w="120"/>
              <w:bottom w:type="dxa" w:w="60"/>
              <w:right w:type="dxa" w:w="120"/>
            </w:tcMar>
            <w:vAlign w:val="top"/>
          </w:tcPr>
          <w:p>
            <w:pPr>
              <w:spacing w:after="0" w:before="0"/>
              <w:jc w:val="left"/>
            </w:pPr>
            <w:r>
              <w:rPr>
                <w:rFonts w:ascii="Arial" w:cs="Arial" w:eastAsia="Arial" w:hAnsi="Arial"/>
                <w:b/>
                <w:bCs/>
                <w:color w:val="FFFFFF"/>
                <w:sz w:val="18"/>
                <w:szCs w:val="18"/>
              </w:rPr>
              <w:t xml:space="preserve">B. POTENTIAL TO IMPROVE</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Quick win opportunity — conversion is already proven. Fixing CTR directly multiplies sales.</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Better engagement will attract a wider audience at the same conversion rate.</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Capturing clicks from competitors improves organic search ranking.</w:t>
            </w:r>
          </w:p>
        </w:tc>
      </w:tr>
    </w:tbl>
    <w:p>
      <w:pPr>
        <w:spacing w:after="60" w:before="0"/>
        <w:jc w:val="left"/>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1D23" w:sz="2"/>
              <w:left w:val="single" w:color="1A1D23" w:sz="2"/>
              <w:bottom w:val="single" w:color="1A1D23" w:sz="2"/>
              <w:right w:val="single" w:color="1A1D23" w:sz="2"/>
            </w:tcBorders>
            <w:shd w:fill="1A1D23" w:val="clear"/>
            <w:tcMar>
              <w:top w:type="dxa" w:w="60"/>
              <w:left w:type="dxa" w:w="120"/>
              <w:bottom w:type="dxa" w:w="60"/>
              <w:right w:type="dxa" w:w="120"/>
            </w:tcMar>
            <w:vAlign w:val="top"/>
          </w:tcPr>
          <w:p>
            <w:pPr>
              <w:spacing w:after="0" w:before="0"/>
              <w:jc w:val="left"/>
            </w:pPr>
            <w:r>
              <w:rPr>
                <w:rFonts w:ascii="Arial" w:cs="Arial" w:eastAsia="Arial" w:hAnsi="Arial"/>
                <w:b/>
                <w:bCs/>
                <w:color w:val="FFFFFF"/>
                <w:sz w:val="18"/>
                <w:szCs w:val="18"/>
              </w:rPr>
              <w:t xml:space="preserve">C. ACTION PLAN</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Replace main image: professional, high-resolution, competitive against top search result neighbours.</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Rewrite product title: most relevant keyword at the front, clear benefit, no keyword stuffing.</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Run A/B image and title tests using Amazon Manage Your Experiments.</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Push for more reviews to improve star rating display in search results.</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Add negative keywords to PPC campaigns to remove irrelevant impressions reducing CTR.</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Introduce visible coupons or promotions that appear in search result cards.</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Adjust pricing to be visually competitive in search card display.</w:t>
            </w:r>
          </w:p>
        </w:tc>
      </w:tr>
    </w:tbl>
    <w:p>
      <w:pPr>
        <w:spacing w:after="60" w:before="0"/>
        <w:jc w:val="left"/>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1D23" w:sz="2"/>
              <w:left w:val="single" w:color="1A1D23" w:sz="2"/>
              <w:bottom w:val="single" w:color="1A1D23" w:sz="2"/>
              <w:right w:val="single" w:color="1A1D23" w:sz="2"/>
            </w:tcBorders>
            <w:shd w:fill="1A1D23" w:val="clear"/>
            <w:tcMar>
              <w:top w:type="dxa" w:w="60"/>
              <w:left w:type="dxa" w:w="120"/>
              <w:bottom w:type="dxa" w:w="60"/>
              <w:right w:type="dxa" w:w="120"/>
            </w:tcMar>
            <w:vAlign w:val="top"/>
          </w:tcPr>
          <w:p>
            <w:pPr>
              <w:spacing w:after="0" w:before="0"/>
              <w:jc w:val="left"/>
            </w:pPr>
            <w:r>
              <w:rPr>
                <w:rFonts w:ascii="Arial" w:cs="Arial" w:eastAsia="Arial" w:hAnsi="Arial"/>
                <w:b/>
                <w:bCs/>
                <w:color w:val="FFFFFF"/>
                <w:sz w:val="18"/>
                <w:szCs w:val="18"/>
              </w:rPr>
              <w:t xml:space="preserve">D. HOW TO MEASURE IMPROVEMENT</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Click-through rate (CTR) trending upward in Detail Page Sales and Traffic reports.</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Impression quality improving — clicks coming from more relevant search terms.</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Conversion rate maintained or improved (not diluted by lower-quality clicks).</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CPC remaining cost-effective despite increased click volume.</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A/B test results showing statistically significant CTR lift.</w:t>
            </w:r>
          </w:p>
        </w:tc>
      </w:tr>
    </w:tbl>
    <w:p>
      <w:pPr>
        <w:spacing w:after="60" w:before="0"/>
        <w:jc w:val="left"/>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0392B" w:sz="12"/>
              <w:bottom w:val="none" w:color="FFFFFF" w:sz="0"/>
              <w:right w:val="none" w:color="FFFFFF" w:sz="0"/>
            </w:tcBorders>
            <w:shd w:fill="FDF0EF" w:val="clear"/>
            <w:tcMar>
              <w:top w:type="dxa" w:w="100"/>
              <w:left w:type="dxa" w:w="160"/>
              <w:bottom w:type="dxa" w:w="100"/>
              <w:right w:type="dxa" w:w="120"/>
            </w:tcMar>
            <w:vAlign w:val="top"/>
          </w:tcPr>
          <w:p>
            <w:pPr>
              <w:spacing w:after="0" w:before="0"/>
              <w:jc w:val="left"/>
            </w:pPr>
            <w:r>
              <w:rPr>
                <w:rFonts w:ascii="Arial" w:cs="Arial" w:eastAsia="Arial" w:hAnsi="Arial"/>
                <w:b/>
                <w:bCs/>
                <w:color w:val="C0392B"/>
                <w:sz w:val="18"/>
                <w:szCs w:val="18"/>
              </w:rPr>
              <w:t xml:space="preserve">⚠  KILL CRITERIA: If CTR remains below 1% after 2 rounds of image and title fixes → reclassify ASIN using LHH strategy (impression volume problem, not CTR problem).</w:t>
            </w:r>
          </w:p>
        </w:tc>
      </w:tr>
    </w:tbl>
    <w:p>
      <w:pPr>
        <w:spacing w:after="100" w:before="0"/>
        <w:jc w:val="left"/>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none" w:color="FFFFFF" w:sz="0"/>
              <w:left w:val="single" w:color="6B3FA0" w:sz="16"/>
              <w:bottom w:val="none" w:color="FFFFFF" w:sz="0"/>
              <w:right w:val="none" w:color="FFFFFF" w:sz="0"/>
            </w:tcBorders>
            <w:shd w:fill="F3EEF9" w:val="clear"/>
            <w:tcMar>
              <w:top w:type="dxa" w:w="120"/>
              <w:left w:type="dxa" w:w="160"/>
              <w:bottom w:type="dxa" w:w="120"/>
              <w:right w:type="dxa" w:w="120"/>
            </w:tcMar>
            <w:vAlign w:val="top"/>
          </w:tcPr>
          <w:p>
            <w:pPr>
              <w:spacing w:after="30" w:before="0"/>
              <w:jc w:val="left"/>
            </w:pPr>
            <w:r>
              <w:rPr>
                <w:rFonts w:ascii="Arial" w:cs="Arial" w:eastAsia="Arial" w:hAnsi="Arial"/>
                <w:b/>
                <w:bCs/>
                <w:color w:val="6B3FA0"/>
                <w:sz w:val="26"/>
                <w:szCs w:val="26"/>
              </w:rPr>
              <w:t xml:space="preserve">LHH</w:t>
            </w:r>
          </w:p>
          <w:p>
            <w:pPr>
              <w:spacing w:after="0" w:before="0"/>
              <w:jc w:val="left"/>
            </w:pPr>
            <w:r>
              <w:rPr>
                <w:rFonts w:ascii="Arial" w:cs="Arial" w:eastAsia="Arial" w:hAnsi="Arial"/>
                <w:color w:val="6B3FA0"/>
                <w:sz w:val="18"/>
                <w:szCs w:val="18"/>
              </w:rPr>
              <w:t xml:space="preserve">Low Impression · High Click · High Conversion</w:t>
            </w:r>
          </w:p>
        </w:tc>
        <w:tc>
          <w:tcPr>
            <w:tcW w:type="dxa" w:w="2880"/>
            <w:tcBorders>
              <w:top w:val="none" w:color="FFFFFF" w:sz="0"/>
              <w:left w:val="none" w:color="FFFFFF" w:sz="0"/>
              <w:bottom w:val="none" w:color="FFFFFF" w:sz="0"/>
              <w:right w:val="none" w:color="FFFFFF" w:sz="0"/>
            </w:tcBorders>
            <w:shd w:fill="6B3FA0" w:val="clear"/>
            <w:tcMar>
              <w:top w:type="dxa" w:w="120"/>
              <w:left w:type="dxa" w:w="80"/>
              <w:bottom w:type="dxa" w:w="120"/>
              <w:right w:type="dxa" w:w="80"/>
            </w:tcMar>
            <w:vAlign w:val="center"/>
          </w:tcPr>
          <w:p>
            <w:pPr>
              <w:spacing w:after="30" w:before="0"/>
              <w:jc w:val="center"/>
            </w:pPr>
            <w:r>
              <w:rPr>
                <w:rFonts w:ascii="Arial" w:cs="Arial" w:eastAsia="Arial" w:hAnsi="Arial"/>
                <w:b/>
                <w:bCs/>
                <w:color w:val="FFFFFF"/>
                <w:sz w:val="18"/>
                <w:szCs w:val="18"/>
              </w:rPr>
              <w:t xml:space="preserve">Dashboard: ● Amber</w:t>
            </w:r>
          </w:p>
          <w:p>
            <w:pPr>
              <w:spacing w:after="0" w:before="0"/>
              <w:jc w:val="center"/>
            </w:pPr>
            <w:r>
              <w:rPr>
                <w:rFonts w:ascii="Arial" w:cs="Arial" w:eastAsia="Arial" w:hAnsi="Arial"/>
                <w:color w:val="FFFFFF"/>
                <w:sz w:val="16"/>
                <w:szCs w:val="16"/>
              </w:rPr>
              <w:t xml:space="preserve">Priority: Growth Play</w:t>
            </w:r>
          </w:p>
        </w:tc>
      </w:tr>
    </w:tbl>
    <w:p>
      <w:pPr>
        <w:spacing w:after="60" w:before="0"/>
        <w:jc w:val="left"/>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1D23" w:sz="2"/>
              <w:left w:val="single" w:color="1A1D23" w:sz="2"/>
              <w:bottom w:val="single" w:color="1A1D23" w:sz="2"/>
              <w:right w:val="single" w:color="1A1D23" w:sz="2"/>
            </w:tcBorders>
            <w:shd w:fill="1A1D23" w:val="clear"/>
            <w:tcMar>
              <w:top w:type="dxa" w:w="60"/>
              <w:left w:type="dxa" w:w="120"/>
              <w:bottom w:type="dxa" w:w="60"/>
              <w:right w:type="dxa" w:w="120"/>
            </w:tcMar>
            <w:vAlign w:val="top"/>
          </w:tcPr>
          <w:p>
            <w:pPr>
              <w:spacing w:after="0" w:before="0"/>
              <w:jc w:val="left"/>
            </w:pPr>
            <w:r>
              <w:rPr>
                <w:rFonts w:ascii="Arial" w:cs="Arial" w:eastAsia="Arial" w:hAnsi="Arial"/>
                <w:b/>
                <w:bCs/>
                <w:color w:val="FFFFFF"/>
                <w:sz w:val="18"/>
                <w:szCs w:val="18"/>
              </w:rPr>
              <w:t xml:space="preserve">A. WHY THIS IS HAPPENING</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Strong listing — customers who see it click and buy. The product and page are working.</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Visibility is the only problem: the ASIN is not appearing enough in search results.</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Likely causes: narrow keyword coverage, insufficient ad spend, incorrect category placement.</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May be a niche product with genuinely low overall search volume.</w:t>
            </w:r>
          </w:p>
        </w:tc>
      </w:tr>
    </w:tbl>
    <w:p>
      <w:pPr>
        <w:spacing w:after="60" w:before="0"/>
        <w:jc w:val="left"/>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1D23" w:sz="2"/>
              <w:left w:val="single" w:color="1A1D23" w:sz="2"/>
              <w:bottom w:val="single" w:color="1A1D23" w:sz="2"/>
              <w:right w:val="single" w:color="1A1D23" w:sz="2"/>
            </w:tcBorders>
            <w:shd w:fill="1A1D23" w:val="clear"/>
            <w:tcMar>
              <w:top w:type="dxa" w:w="60"/>
              <w:left w:type="dxa" w:w="120"/>
              <w:bottom w:type="dxa" w:w="60"/>
              <w:right w:type="dxa" w:w="120"/>
            </w:tcMar>
            <w:vAlign w:val="top"/>
          </w:tcPr>
          <w:p>
            <w:pPr>
              <w:spacing w:after="0" w:before="0"/>
              <w:jc w:val="left"/>
            </w:pPr>
            <w:r>
              <w:rPr>
                <w:rFonts w:ascii="Arial" w:cs="Arial" w:eastAsia="Arial" w:hAnsi="Arial"/>
                <w:b/>
                <w:bCs/>
                <w:color w:val="FFFFFF"/>
                <w:sz w:val="18"/>
                <w:szCs w:val="18"/>
              </w:rPr>
              <w:t xml:space="preserve">B. POTENTIAL TO IMPROVE</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Scale visibility and sales multiply at the same click and conversion rate — highest ROI play.</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Revenue growth potential is high because no listing fixes are needed.</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Brand awareness grows with increased impressions even if not all convert to clicks.</w:t>
            </w:r>
          </w:p>
        </w:tc>
      </w:tr>
    </w:tbl>
    <w:p>
      <w:pPr>
        <w:spacing w:after="60" w:before="0"/>
        <w:jc w:val="left"/>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1D23" w:sz="2"/>
              <w:left w:val="single" w:color="1A1D23" w:sz="2"/>
              <w:bottom w:val="single" w:color="1A1D23" w:sz="2"/>
              <w:right w:val="single" w:color="1A1D23" w:sz="2"/>
            </w:tcBorders>
            <w:shd w:fill="1A1D23" w:val="clear"/>
            <w:tcMar>
              <w:top w:type="dxa" w:w="60"/>
              <w:left w:type="dxa" w:w="120"/>
              <w:bottom w:type="dxa" w:w="60"/>
              <w:right w:type="dxa" w:w="120"/>
            </w:tcMar>
            <w:vAlign w:val="top"/>
          </w:tcPr>
          <w:p>
            <w:pPr>
              <w:spacing w:after="0" w:before="0"/>
              <w:jc w:val="left"/>
            </w:pPr>
            <w:r>
              <w:rPr>
                <w:rFonts w:ascii="Arial" w:cs="Arial" w:eastAsia="Arial" w:hAnsi="Arial"/>
                <w:b/>
                <w:bCs/>
                <w:color w:val="FFFFFF"/>
                <w:sz w:val="18"/>
                <w:szCs w:val="18"/>
              </w:rPr>
              <w:t xml:space="preserve">C. ACTION PLAN</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Expand keyword strategy: use Helium 10 to find competitor keywords and long-tail terms.</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Fully populate backend search term fields with relevant, non-duplicated keywords.</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Increase Sponsored Products budget on this ASIN — proven ROI justifies higher spend.</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Verify correct product category and browse node placement.</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Add Sponsored Brand and Display Ads to extend reach beyond search.</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Test external traffic sources: social media, influencer posts, content marketing.</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Optimise for voice search with natural language keyword phrases.</w:t>
            </w:r>
          </w:p>
        </w:tc>
      </w:tr>
    </w:tbl>
    <w:p>
      <w:pPr>
        <w:spacing w:after="60" w:before="0"/>
        <w:jc w:val="left"/>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1D23" w:sz="2"/>
              <w:left w:val="single" w:color="1A1D23" w:sz="2"/>
              <w:bottom w:val="single" w:color="1A1D23" w:sz="2"/>
              <w:right w:val="single" w:color="1A1D23" w:sz="2"/>
            </w:tcBorders>
            <w:shd w:fill="1A1D23" w:val="clear"/>
            <w:tcMar>
              <w:top w:type="dxa" w:w="60"/>
              <w:left w:type="dxa" w:w="120"/>
              <w:bottom w:type="dxa" w:w="60"/>
              <w:right w:type="dxa" w:w="120"/>
            </w:tcMar>
            <w:vAlign w:val="top"/>
          </w:tcPr>
          <w:p>
            <w:pPr>
              <w:spacing w:after="0" w:before="0"/>
              <w:jc w:val="left"/>
            </w:pPr>
            <w:r>
              <w:rPr>
                <w:rFonts w:ascii="Arial" w:cs="Arial" w:eastAsia="Arial" w:hAnsi="Arial"/>
                <w:b/>
                <w:bCs/>
                <w:color w:val="FFFFFF"/>
                <w:sz w:val="18"/>
                <w:szCs w:val="18"/>
              </w:rPr>
              <w:t xml:space="preserve">D. HOW TO MEASURE IMPROVEMENT</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Total impressions increasing month-over-month.</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Keyword-level impressions showing which new terms are driving visibility.</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Sales velocity increasing in proportion to impression growth.</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ROAS and ACoS remaining stable despite higher ad spend.</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External traffic sources tracked via Amazon Attribution.</w:t>
            </w:r>
          </w:p>
        </w:tc>
      </w:tr>
    </w:tbl>
    <w:p>
      <w:pPr>
        <w:spacing w:after="60" w:before="0"/>
        <w:jc w:val="left"/>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0392B" w:sz="12"/>
              <w:bottom w:val="none" w:color="FFFFFF" w:sz="0"/>
              <w:right w:val="none" w:color="FFFFFF" w:sz="0"/>
            </w:tcBorders>
            <w:shd w:fill="FDF0EF" w:val="clear"/>
            <w:tcMar>
              <w:top w:type="dxa" w:w="100"/>
              <w:left w:type="dxa" w:w="160"/>
              <w:bottom w:type="dxa" w:w="100"/>
              <w:right w:type="dxa" w:w="120"/>
            </w:tcMar>
            <w:vAlign w:val="top"/>
          </w:tcPr>
          <w:p>
            <w:pPr>
              <w:spacing w:after="0" w:before="0"/>
              <w:jc w:val="left"/>
            </w:pPr>
            <w:r>
              <w:rPr>
                <w:rFonts w:ascii="Arial" w:cs="Arial" w:eastAsia="Arial" w:hAnsi="Arial"/>
                <w:b/>
                <w:bCs/>
                <w:color w:val="C0392B"/>
                <w:sz w:val="18"/>
                <w:szCs w:val="18"/>
              </w:rPr>
              <w:t xml:space="preserve">⚠  KILL CRITERIA: If impressions do not lift by 50% within 60 days despite increased ad spend → pause scaling and investigate category or keyword targeting issues before spending further.</w:t>
            </w:r>
          </w:p>
        </w:tc>
      </w:tr>
    </w:tbl>
    <w:p>
      <w:pPr>
        <w:spacing w:after="100" w:before="0"/>
        <w:jc w:val="left"/>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none" w:color="FFFFFF" w:sz="0"/>
              <w:left w:val="single" w:color="C0392B" w:sz="16"/>
              <w:bottom w:val="none" w:color="FFFFFF" w:sz="0"/>
              <w:right w:val="none" w:color="FFFFFF" w:sz="0"/>
            </w:tcBorders>
            <w:shd w:fill="FDF0EF" w:val="clear"/>
            <w:tcMar>
              <w:top w:type="dxa" w:w="120"/>
              <w:left w:type="dxa" w:w="160"/>
              <w:bottom w:type="dxa" w:w="120"/>
              <w:right w:type="dxa" w:w="120"/>
            </w:tcMar>
            <w:vAlign w:val="top"/>
          </w:tcPr>
          <w:p>
            <w:pPr>
              <w:spacing w:after="30" w:before="0"/>
              <w:jc w:val="left"/>
            </w:pPr>
            <w:r>
              <w:rPr>
                <w:rFonts w:ascii="Arial" w:cs="Arial" w:eastAsia="Arial" w:hAnsi="Arial"/>
                <w:b/>
                <w:bCs/>
                <w:color w:val="C0392B"/>
                <w:sz w:val="26"/>
                <w:szCs w:val="26"/>
              </w:rPr>
              <w:t xml:space="preserve">LLL</w:t>
            </w:r>
          </w:p>
          <w:p>
            <w:pPr>
              <w:spacing w:after="0" w:before="0"/>
              <w:jc w:val="left"/>
            </w:pPr>
            <w:r>
              <w:rPr>
                <w:rFonts w:ascii="Arial" w:cs="Arial" w:eastAsia="Arial" w:hAnsi="Arial"/>
                <w:color w:val="C0392B"/>
                <w:sz w:val="18"/>
                <w:szCs w:val="18"/>
              </w:rPr>
              <w:t xml:space="preserve">Low Impression · Low Click · Low Conversion</w:t>
            </w:r>
          </w:p>
        </w:tc>
        <w:tc>
          <w:tcPr>
            <w:tcW w:type="dxa" w:w="2880"/>
            <w:tcBorders>
              <w:top w:val="none" w:color="FFFFFF" w:sz="0"/>
              <w:left w:val="none" w:color="FFFFFF" w:sz="0"/>
              <w:bottom w:val="none" w:color="FFFFFF" w:sz="0"/>
              <w:right w:val="none" w:color="FFFFFF" w:sz="0"/>
            </w:tcBorders>
            <w:shd w:fill="C0392B" w:val="clear"/>
            <w:tcMar>
              <w:top w:type="dxa" w:w="120"/>
              <w:left w:type="dxa" w:w="80"/>
              <w:bottom w:type="dxa" w:w="120"/>
              <w:right w:type="dxa" w:w="80"/>
            </w:tcMar>
            <w:vAlign w:val="center"/>
          </w:tcPr>
          <w:p>
            <w:pPr>
              <w:spacing w:after="30" w:before="0"/>
              <w:jc w:val="center"/>
            </w:pPr>
            <w:r>
              <w:rPr>
                <w:rFonts w:ascii="Arial" w:cs="Arial" w:eastAsia="Arial" w:hAnsi="Arial"/>
                <w:b/>
                <w:bCs/>
                <w:color w:val="FFFFFF"/>
                <w:sz w:val="18"/>
                <w:szCs w:val="18"/>
              </w:rPr>
              <w:t xml:space="preserve">Dashboard: ● Red</w:t>
            </w:r>
          </w:p>
          <w:p>
            <w:pPr>
              <w:spacing w:after="0" w:before="0"/>
              <w:jc w:val="center"/>
            </w:pPr>
            <w:r>
              <w:rPr>
                <w:rFonts w:ascii="Arial" w:cs="Arial" w:eastAsia="Arial" w:hAnsi="Arial"/>
                <w:color w:val="FFFFFF"/>
                <w:sz w:val="16"/>
                <w:szCs w:val="16"/>
              </w:rPr>
              <w:t xml:space="preserve">Priority: Kill / Review</w:t>
            </w:r>
          </w:p>
        </w:tc>
      </w:tr>
    </w:tbl>
    <w:p>
      <w:pPr>
        <w:spacing w:after="60" w:before="0"/>
        <w:jc w:val="left"/>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1D23" w:sz="2"/>
              <w:left w:val="single" w:color="1A1D23" w:sz="2"/>
              <w:bottom w:val="single" w:color="1A1D23" w:sz="2"/>
              <w:right w:val="single" w:color="1A1D23" w:sz="2"/>
            </w:tcBorders>
            <w:shd w:fill="1A1D23" w:val="clear"/>
            <w:tcMar>
              <w:top w:type="dxa" w:w="60"/>
              <w:left w:type="dxa" w:w="120"/>
              <w:bottom w:type="dxa" w:w="60"/>
              <w:right w:type="dxa" w:w="120"/>
            </w:tcMar>
            <w:vAlign w:val="top"/>
          </w:tcPr>
          <w:p>
            <w:pPr>
              <w:spacing w:after="0" w:before="0"/>
              <w:jc w:val="left"/>
            </w:pPr>
            <w:r>
              <w:rPr>
                <w:rFonts w:ascii="Arial" w:cs="Arial" w:eastAsia="Arial" w:hAnsi="Arial"/>
                <w:b/>
                <w:bCs/>
                <w:color w:val="FFFFFF"/>
                <w:sz w:val="18"/>
                <w:szCs w:val="18"/>
              </w:rPr>
              <w:t xml:space="preserve">A. WHY THIS IS HAPPENING</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ASIN is underperforming across all three signals simultaneously.</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Minimal search visibility likely due to poor keyword optimisation or wrong category.</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Low click rate suggests the listing card (image, title, price, rating) is unattractive.</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Low conversion suggests the product detail page or the product itself has issues.</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Often indicates: wrong keywords, uncompetitive pricing, poor reviews, or weak product-market fit.</w:t>
            </w:r>
          </w:p>
        </w:tc>
      </w:tr>
    </w:tbl>
    <w:p>
      <w:pPr>
        <w:spacing w:after="60" w:before="0"/>
        <w:jc w:val="left"/>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1D23" w:sz="2"/>
              <w:left w:val="single" w:color="1A1D23" w:sz="2"/>
              <w:bottom w:val="single" w:color="1A1D23" w:sz="2"/>
              <w:right w:val="single" w:color="1A1D23" w:sz="2"/>
            </w:tcBorders>
            <w:shd w:fill="1A1D23" w:val="clear"/>
            <w:tcMar>
              <w:top w:type="dxa" w:w="60"/>
              <w:left w:type="dxa" w:w="120"/>
              <w:bottom w:type="dxa" w:w="60"/>
              <w:right w:type="dxa" w:w="120"/>
            </w:tcMar>
            <w:vAlign w:val="top"/>
          </w:tcPr>
          <w:p>
            <w:pPr>
              <w:spacing w:after="0" w:before="0"/>
              <w:jc w:val="left"/>
            </w:pPr>
            <w:r>
              <w:rPr>
                <w:rFonts w:ascii="Arial" w:cs="Arial" w:eastAsia="Arial" w:hAnsi="Arial"/>
                <w:b/>
                <w:bCs/>
                <w:color w:val="FFFFFF"/>
                <w:sz w:val="18"/>
                <w:szCs w:val="18"/>
              </w:rPr>
              <w:t xml:space="preserve">B. POTENTIAL TO IMPROVE</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Opportunity exists to turn around if the root cause is a fixable listing issue.</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If the product itself is the issue — quality, demand mismatch — the opportunity is limited.</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Must be resolved quickly or resources are being wasted maintaining a losing position.</w:t>
            </w:r>
          </w:p>
        </w:tc>
      </w:tr>
    </w:tbl>
    <w:p>
      <w:pPr>
        <w:spacing w:after="60" w:before="0"/>
        <w:jc w:val="left"/>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1D23" w:sz="2"/>
              <w:left w:val="single" w:color="1A1D23" w:sz="2"/>
              <w:bottom w:val="single" w:color="1A1D23" w:sz="2"/>
              <w:right w:val="single" w:color="1A1D23" w:sz="2"/>
            </w:tcBorders>
            <w:shd w:fill="1A1D23" w:val="clear"/>
            <w:tcMar>
              <w:top w:type="dxa" w:w="60"/>
              <w:left w:type="dxa" w:w="120"/>
              <w:bottom w:type="dxa" w:w="60"/>
              <w:right w:type="dxa" w:w="120"/>
            </w:tcMar>
            <w:vAlign w:val="top"/>
          </w:tcPr>
          <w:p>
            <w:pPr>
              <w:spacing w:after="0" w:before="0"/>
              <w:jc w:val="left"/>
            </w:pPr>
            <w:r>
              <w:rPr>
                <w:rFonts w:ascii="Arial" w:cs="Arial" w:eastAsia="Arial" w:hAnsi="Arial"/>
                <w:b/>
                <w:bCs/>
                <w:color w:val="FFFFFF"/>
                <w:sz w:val="18"/>
                <w:szCs w:val="18"/>
              </w:rPr>
              <w:t xml:space="preserve">C. ACTION PLAN</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Complete listing audit: keywords, title, bullet points, images, A+ content — all must be reviewed.</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Keyword research using Helium 10 or MerchantWords to rebuild keyword strategy from scratch.</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Professional photography if existing images are substandard.</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Competitive analysis: identify top 3 competitor ASINs in the same category and reverse-engineer their approach.</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Pricing review: ensure the price is competitive and justified by product quality.</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Launch targeted PPC only after listing fixes are in place — do not spend on a broken listing.</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If refund rate is high, investigate product quality and packaging before any relisting.</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If no improvement after full relist: initiate discontinuation review.</w:t>
            </w:r>
          </w:p>
        </w:tc>
      </w:tr>
    </w:tbl>
    <w:p>
      <w:pPr>
        <w:spacing w:after="60" w:before="0"/>
        <w:jc w:val="left"/>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1D23" w:sz="2"/>
              <w:left w:val="single" w:color="1A1D23" w:sz="2"/>
              <w:bottom w:val="single" w:color="1A1D23" w:sz="2"/>
              <w:right w:val="single" w:color="1A1D23" w:sz="2"/>
            </w:tcBorders>
            <w:shd w:fill="1A1D23" w:val="clear"/>
            <w:tcMar>
              <w:top w:type="dxa" w:w="60"/>
              <w:left w:type="dxa" w:w="120"/>
              <w:bottom w:type="dxa" w:w="60"/>
              <w:right w:type="dxa" w:w="120"/>
            </w:tcMar>
            <w:vAlign w:val="top"/>
          </w:tcPr>
          <w:p>
            <w:pPr>
              <w:spacing w:after="0" w:before="0"/>
              <w:jc w:val="left"/>
            </w:pPr>
            <w:r>
              <w:rPr>
                <w:rFonts w:ascii="Arial" w:cs="Arial" w:eastAsia="Arial" w:hAnsi="Arial"/>
                <w:b/>
                <w:bCs/>
                <w:color w:val="FFFFFF"/>
                <w:sz w:val="18"/>
                <w:szCs w:val="18"/>
              </w:rPr>
              <w:t xml:space="preserve">D. HOW TO MEASURE IMPROVEMENT</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Impressions growing after keyword and listing fixes (tracked in traffic_data).</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CTR improving from image and title improvements.</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Conversion rate increasing from listing content and pricing work.</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Sales volume (units sold) increasing month-over-month.</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Profit margin improving — ensure fixes do not sacrifice margin.</w:t>
            </w:r>
          </w:p>
        </w:tc>
      </w:tr>
    </w:tbl>
    <w:p>
      <w:pPr>
        <w:spacing w:after="60" w:before="0"/>
        <w:jc w:val="left"/>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0392B" w:sz="12"/>
              <w:bottom w:val="none" w:color="FFFFFF" w:sz="0"/>
              <w:right w:val="none" w:color="FFFFFF" w:sz="0"/>
            </w:tcBorders>
            <w:shd w:fill="FDF0EF" w:val="clear"/>
            <w:tcMar>
              <w:top w:type="dxa" w:w="100"/>
              <w:left w:type="dxa" w:w="160"/>
              <w:bottom w:type="dxa" w:w="100"/>
              <w:right w:type="dxa" w:w="120"/>
            </w:tcMar>
            <w:vAlign w:val="top"/>
          </w:tcPr>
          <w:p>
            <w:pPr>
              <w:spacing w:after="0" w:before="0"/>
              <w:jc w:val="left"/>
            </w:pPr>
            <w:r>
              <w:rPr>
                <w:rFonts w:ascii="Arial" w:cs="Arial" w:eastAsia="Arial" w:hAnsi="Arial"/>
                <w:b/>
                <w:bCs/>
                <w:color w:val="C0392B"/>
                <w:sz w:val="18"/>
                <w:szCs w:val="18"/>
              </w:rPr>
              <w:t xml:space="preserve">⚠  KILL CRITERIA: If units sold remain below 20/month after a full listing overhaul and 30 days of targeted PPC → initiate delist or liquidation review. No further resource to be allocated.</w:t>
            </w:r>
          </w:p>
        </w:tc>
      </w:tr>
    </w:tbl>
    <w:p>
      <w:pPr>
        <w:spacing w:after="100" w:before="0"/>
        <w:jc w:val="left"/>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none" w:color="FFFFFF" w:sz="0"/>
              <w:left w:val="single" w:color="0D7377" w:sz="16"/>
              <w:bottom w:val="none" w:color="FFFFFF" w:sz="0"/>
              <w:right w:val="none" w:color="FFFFFF" w:sz="0"/>
            </w:tcBorders>
            <w:shd w:fill="E6F7F7" w:val="clear"/>
            <w:tcMar>
              <w:top w:type="dxa" w:w="120"/>
              <w:left w:type="dxa" w:w="160"/>
              <w:bottom w:type="dxa" w:w="120"/>
              <w:right w:type="dxa" w:w="120"/>
            </w:tcMar>
            <w:vAlign w:val="top"/>
          </w:tcPr>
          <w:p>
            <w:pPr>
              <w:spacing w:after="30" w:before="0"/>
              <w:jc w:val="left"/>
            </w:pPr>
            <w:r>
              <w:rPr>
                <w:rFonts w:ascii="Arial" w:cs="Arial" w:eastAsia="Arial" w:hAnsi="Arial"/>
                <w:b/>
                <w:bCs/>
                <w:color w:val="0D7377"/>
                <w:sz w:val="26"/>
                <w:szCs w:val="26"/>
              </w:rPr>
              <w:t xml:space="preserve">LLH</w:t>
            </w:r>
          </w:p>
          <w:p>
            <w:pPr>
              <w:spacing w:after="0" w:before="0"/>
              <w:jc w:val="left"/>
            </w:pPr>
            <w:r>
              <w:rPr>
                <w:rFonts w:ascii="Arial" w:cs="Arial" w:eastAsia="Arial" w:hAnsi="Arial"/>
                <w:color w:val="0D7377"/>
                <w:sz w:val="18"/>
                <w:szCs w:val="18"/>
              </w:rPr>
              <w:t xml:space="preserve">Low Impression · Low Click · High Conversion</w:t>
            </w:r>
          </w:p>
        </w:tc>
        <w:tc>
          <w:tcPr>
            <w:tcW w:type="dxa" w:w="2880"/>
            <w:tcBorders>
              <w:top w:val="none" w:color="FFFFFF" w:sz="0"/>
              <w:left w:val="none" w:color="FFFFFF" w:sz="0"/>
              <w:bottom w:val="none" w:color="FFFFFF" w:sz="0"/>
              <w:right w:val="none" w:color="FFFFFF" w:sz="0"/>
            </w:tcBorders>
            <w:shd w:fill="0D7377" w:val="clear"/>
            <w:tcMar>
              <w:top w:type="dxa" w:w="120"/>
              <w:left w:type="dxa" w:w="80"/>
              <w:bottom w:type="dxa" w:w="120"/>
              <w:right w:type="dxa" w:w="80"/>
            </w:tcMar>
            <w:vAlign w:val="center"/>
          </w:tcPr>
          <w:p>
            <w:pPr>
              <w:spacing w:after="30" w:before="0"/>
              <w:jc w:val="center"/>
            </w:pPr>
            <w:r>
              <w:rPr>
                <w:rFonts w:ascii="Arial" w:cs="Arial" w:eastAsia="Arial" w:hAnsi="Arial"/>
                <w:b/>
                <w:bCs/>
                <w:color w:val="FFFFFF"/>
                <w:sz w:val="18"/>
                <w:szCs w:val="18"/>
              </w:rPr>
              <w:t xml:space="preserve">Dashboard: ● Mixed</w:t>
            </w:r>
          </w:p>
          <w:p>
            <w:pPr>
              <w:spacing w:after="0" w:before="0"/>
              <w:jc w:val="center"/>
            </w:pPr>
            <w:r>
              <w:rPr>
                <w:rFonts w:ascii="Arial" w:cs="Arial" w:eastAsia="Arial" w:hAnsi="Arial"/>
                <w:color w:val="FFFFFF"/>
                <w:sz w:val="16"/>
                <w:szCs w:val="16"/>
              </w:rPr>
              <w:t xml:space="preserve">Priority: Maintain Selectively</w:t>
            </w:r>
          </w:p>
        </w:tc>
      </w:tr>
    </w:tbl>
    <w:p>
      <w:pPr>
        <w:spacing w:after="60" w:before="0"/>
        <w:jc w:val="left"/>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1D23" w:sz="2"/>
              <w:left w:val="single" w:color="1A1D23" w:sz="2"/>
              <w:bottom w:val="single" w:color="1A1D23" w:sz="2"/>
              <w:right w:val="single" w:color="1A1D23" w:sz="2"/>
            </w:tcBorders>
            <w:shd w:fill="1A1D23" w:val="clear"/>
            <w:tcMar>
              <w:top w:type="dxa" w:w="60"/>
              <w:left w:type="dxa" w:w="120"/>
              <w:bottom w:type="dxa" w:w="60"/>
              <w:right w:type="dxa" w:w="120"/>
            </w:tcMar>
            <w:vAlign w:val="top"/>
          </w:tcPr>
          <w:p>
            <w:pPr>
              <w:spacing w:after="0" w:before="0"/>
              <w:jc w:val="left"/>
            </w:pPr>
            <w:r>
              <w:rPr>
                <w:rFonts w:ascii="Arial" w:cs="Arial" w:eastAsia="Arial" w:hAnsi="Arial"/>
                <w:b/>
                <w:bCs/>
                <w:color w:val="FFFFFF"/>
                <w:sz w:val="18"/>
                <w:szCs w:val="18"/>
              </w:rPr>
              <w:t xml:space="preserve">A. WHY THIS IS HAPPENING</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Low visibility and low traffic, but strong conversion when customers do find the ASIN.</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Indicates a niche product with strong product-market fit for a small, specific audience.</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Conversion quality is excellent — no listing or product fixes needed.</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The issue is purely reach: not enough customers are discovering the ASIN.</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Often caused by narrow keyword coverage, minimal ad spend, or niche-only demand.</w:t>
            </w:r>
          </w:p>
        </w:tc>
      </w:tr>
    </w:tbl>
    <w:p>
      <w:pPr>
        <w:spacing w:after="60" w:before="0"/>
        <w:jc w:val="left"/>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1D23" w:sz="2"/>
              <w:left w:val="single" w:color="1A1D23" w:sz="2"/>
              <w:bottom w:val="single" w:color="1A1D23" w:sz="2"/>
              <w:right w:val="single" w:color="1A1D23" w:sz="2"/>
            </w:tcBorders>
            <w:shd w:fill="1A1D23" w:val="clear"/>
            <w:tcMar>
              <w:top w:type="dxa" w:w="60"/>
              <w:left w:type="dxa" w:w="120"/>
              <w:bottom w:type="dxa" w:w="60"/>
              <w:right w:type="dxa" w:w="120"/>
            </w:tcMar>
            <w:vAlign w:val="top"/>
          </w:tcPr>
          <w:p>
            <w:pPr>
              <w:spacing w:after="0" w:before="0"/>
              <w:jc w:val="left"/>
            </w:pPr>
            <w:r>
              <w:rPr>
                <w:rFonts w:ascii="Arial" w:cs="Arial" w:eastAsia="Arial" w:hAnsi="Arial"/>
                <w:b/>
                <w:bCs/>
                <w:color w:val="FFFFFF"/>
                <w:sz w:val="18"/>
                <w:szCs w:val="18"/>
              </w:rPr>
              <w:t xml:space="preserve">B. POTENTIAL TO IMPROVE</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Careful scaling opportunity — expand reach while protecting conversion quality.</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Revenue increase possible without any listing changes.</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Build a broader customer base without changing what is already working.</w:t>
            </w:r>
          </w:p>
        </w:tc>
      </w:tr>
    </w:tbl>
    <w:p>
      <w:pPr>
        <w:spacing w:after="60" w:before="0"/>
        <w:jc w:val="left"/>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1D23" w:sz="2"/>
              <w:left w:val="single" w:color="1A1D23" w:sz="2"/>
              <w:bottom w:val="single" w:color="1A1D23" w:sz="2"/>
              <w:right w:val="single" w:color="1A1D23" w:sz="2"/>
            </w:tcBorders>
            <w:shd w:fill="1A1D23" w:val="clear"/>
            <w:tcMar>
              <w:top w:type="dxa" w:w="60"/>
              <w:left w:type="dxa" w:w="120"/>
              <w:bottom w:type="dxa" w:w="60"/>
              <w:right w:type="dxa" w:w="120"/>
            </w:tcMar>
            <w:vAlign w:val="top"/>
          </w:tcPr>
          <w:p>
            <w:pPr>
              <w:spacing w:after="0" w:before="0"/>
              <w:jc w:val="left"/>
            </w:pPr>
            <w:r>
              <w:rPr>
                <w:rFonts w:ascii="Arial" w:cs="Arial" w:eastAsia="Arial" w:hAnsi="Arial"/>
                <w:b/>
                <w:bCs/>
                <w:color w:val="FFFFFF"/>
                <w:sz w:val="18"/>
                <w:szCs w:val="18"/>
              </w:rPr>
              <w:t xml:space="preserve">C. ACTION PLAN</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Broaden keyword base: add related terms, synonyms, use-case phrases customers might search.</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Fully utilise all backend search term character space.</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Start selective PPC: Sponsored Products with carefully chosen keywords — do not over-spend.</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Product targeting ads: place ASIN on competitor product pages.</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External marketing: niche blogs, influencers, email newsletters.</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Ensure main image and title are compelling enough to attract clicks when impressions do increase.</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Do not aggressively scale until PPC ACoS is below 40%.</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Explore other sales channels: eBay, Shopify, or direct B2B outreach for niche buyers.</w:t>
            </w:r>
          </w:p>
        </w:tc>
      </w:tr>
    </w:tbl>
    <w:p>
      <w:pPr>
        <w:spacing w:after="60" w:before="0"/>
        <w:jc w:val="left"/>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1D23" w:sz="2"/>
              <w:left w:val="single" w:color="1A1D23" w:sz="2"/>
              <w:bottom w:val="single" w:color="1A1D23" w:sz="2"/>
              <w:right w:val="single" w:color="1A1D23" w:sz="2"/>
            </w:tcBorders>
            <w:shd w:fill="1A1D23" w:val="clear"/>
            <w:tcMar>
              <w:top w:type="dxa" w:w="60"/>
              <w:left w:type="dxa" w:w="120"/>
              <w:bottom w:type="dxa" w:w="60"/>
              <w:right w:type="dxa" w:w="120"/>
            </w:tcMar>
            <w:vAlign w:val="top"/>
          </w:tcPr>
          <w:p>
            <w:pPr>
              <w:spacing w:after="0" w:before="0"/>
              <w:jc w:val="left"/>
            </w:pPr>
            <w:r>
              <w:rPr>
                <w:rFonts w:ascii="Arial" w:cs="Arial" w:eastAsia="Arial" w:hAnsi="Arial"/>
                <w:b/>
                <w:bCs/>
                <w:color w:val="FFFFFF"/>
                <w:sz w:val="18"/>
                <w:szCs w:val="18"/>
              </w:rPr>
              <w:t xml:space="preserve">D. HOW TO MEASURE IMPROVEMENT</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Impressions increasing month-over-month from keyword and PPC changes.</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CTR growing as more relevant audiences discover the ASIN.</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Conversion rate maintained — any drop signals the new audience is less well-matched.</w:t>
            </w:r>
          </w:p>
        </w:tc>
      </w:tr>
      <w:tr>
        <w:tc>
          <w:tcPr>
            <w:tcW w:type="dxa" w:w="10080"/>
            <w:tcBorders>
              <w:top w:val="single" w:color="E0E3E8" w:sz="2"/>
              <w:left w:val="single" w:color="E0E3E8" w:sz="2"/>
              <w:bottom w:val="single" w:color="E0E3E8" w:sz="2"/>
              <w:right w:val="single" w:color="E0E3E8" w:sz="2"/>
            </w:tcBorders>
            <w:shd w:fill="FAFBFC" w:val="clear"/>
            <w:tcMar>
              <w:top w:type="dxa" w:w="80"/>
              <w:left w:type="dxa" w:w="140"/>
              <w:bottom w:type="dxa" w:w="80"/>
              <w:right w:type="dxa" w:w="120"/>
            </w:tcMar>
            <w:vAlign w:val="top"/>
          </w:tcPr>
          <w:p>
            <w:pPr>
              <w:spacing w:after="40" w:before="0"/>
              <w:jc w:val="left"/>
            </w:pPr>
            <w:r>
              <w:rPr>
                <w:rFonts w:ascii="Arial" w:cs="Arial" w:eastAsia="Arial" w:hAnsi="Arial"/>
                <w:color w:val="5A6272"/>
                <w:sz w:val="18"/>
                <w:szCs w:val="18"/>
              </w:rPr>
              <w:t xml:space="preserve">• PPC ACoS tracked closely — must remain below 40% for scaling to be viable.</w:t>
            </w:r>
          </w:p>
        </w:tc>
      </w:tr>
      <w:tr>
        <w:tc>
          <w:tcPr>
            <w:tcW w:type="dxa" w:w="10080"/>
            <w:tcBorders>
              <w:top w:val="single" w:color="E0E3E8" w:sz="2"/>
              <w:left w:val="single" w:color="E0E3E8" w:sz="2"/>
              <w:bottom w:val="single" w:color="E0E3E8" w:sz="2"/>
              <w:right w:val="single" w:color="E0E3E8" w:sz="2"/>
            </w:tcBorders>
            <w:shd w:fill="FFFFFF" w:val="clear"/>
            <w:tcMar>
              <w:top w:type="dxa" w:w="80"/>
              <w:left w:type="dxa" w:w="140"/>
              <w:bottom w:type="dxa" w:w="80"/>
              <w:right w:type="dxa" w:w="120"/>
            </w:tcMar>
            <w:vAlign w:val="top"/>
          </w:tcPr>
          <w:p>
            <w:pPr>
              <w:spacing w:after="40" w:before="0"/>
              <w:jc w:val="left"/>
            </w:pPr>
            <w:r>
              <w:rPr>
                <w:rFonts w:ascii="Arial" w:cs="Arial" w:eastAsia="Arial" w:hAnsi="Arial"/>
                <w:color w:val="1A1D23"/>
                <w:sz w:val="18"/>
                <w:szCs w:val="18"/>
              </w:rPr>
              <w:t xml:space="preserve">• Revenue growing incrementally without margin compression.</w:t>
            </w:r>
          </w:p>
        </w:tc>
      </w:tr>
    </w:tbl>
    <w:p>
      <w:pPr>
        <w:spacing w:after="60" w:before="0"/>
        <w:jc w:val="left"/>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0392B" w:sz="12"/>
              <w:bottom w:val="none" w:color="FFFFFF" w:sz="0"/>
              <w:right w:val="none" w:color="FFFFFF" w:sz="0"/>
            </w:tcBorders>
            <w:shd w:fill="FDF0EF" w:val="clear"/>
            <w:tcMar>
              <w:top w:type="dxa" w:w="100"/>
              <w:left w:type="dxa" w:w="160"/>
              <w:bottom w:type="dxa" w:w="100"/>
              <w:right w:type="dxa" w:w="120"/>
            </w:tcMar>
            <w:vAlign w:val="top"/>
          </w:tcPr>
          <w:p>
            <w:pPr>
              <w:spacing w:after="0" w:before="0"/>
              <w:jc w:val="left"/>
            </w:pPr>
            <w:r>
              <w:rPr>
                <w:rFonts w:ascii="Arial" w:cs="Arial" w:eastAsia="Arial" w:hAnsi="Arial"/>
                <w:b/>
                <w:bCs/>
                <w:color w:val="C0392B"/>
                <w:sz w:val="18"/>
                <w:szCs w:val="18"/>
              </w:rPr>
              <w:t xml:space="preserve">⚠  KILL CRITERIA: If PPC ACoS exceeds 40% consistently for 30 days → stop scaling immediately. Leave as niche-only organic ASIN. Do not force visibility that destroys margin.</w:t>
            </w:r>
          </w:p>
        </w:tc>
      </w:tr>
    </w:tbl>
    <w:p>
      <w:pPr>
        <w:spacing w:after="100" w:before="0"/>
        <w:jc w:val="left"/>
      </w:pPr>
      <w:r>
        <w:rPr>
          <w:rFonts w:ascii="Arial" w:cs="Arial" w:eastAsia="Arial" w:hAnsi="Arial"/>
          <w:sz w:val="20"/>
          <w:szCs w:val="20"/>
        </w:rPr>
        <w:t xml:space="preserve"/>
      </w:r>
    </w:p>
    <w:p>
      <w:pPr>
        <w:pStyle w:val="Heading1"/>
        <w:pBdr>
          <w:bottom w:val="single" w:color="C0392B" w:sz="6" w:space="4"/>
        </w:pBdr>
        <w:spacing w:after="160" w:before="320"/>
      </w:pPr>
      <w:r>
        <w:rPr>
          <w:rFonts w:ascii="Arial" w:cs="Arial" w:eastAsia="Arial" w:hAnsi="Arial"/>
          <w:b/>
          <w:bCs/>
          <w:color w:val="C0392B"/>
          <w:sz w:val="28"/>
          <w:szCs w:val="28"/>
        </w:rPr>
        <w:t xml:space="preserve">4. DATABASE QUERIES — PROMPT PROTOCOL</w:t>
      </w:r>
    </w:p>
    <w:p>
      <w:pPr>
        <w:spacing w:after="120" w:before="0"/>
        <w:jc w:val="left"/>
      </w:pPr>
      <w:r>
        <w:rPr>
          <w:rFonts w:ascii="Arial" w:cs="Arial" w:eastAsia="Arial" w:hAnsi="Arial"/>
          <w:sz w:val="20"/>
          <w:szCs w:val="20"/>
        </w:rPr>
        <w:t xml:space="preserve">All segmentation data is pulled from the live Postgres database through the Claude project. The following prompts are used each month on the 1st. They must be run in order.</w:t>
      </w:r>
    </w:p>
    <w:p>
      <w:pPr>
        <w:pStyle w:val="Heading2"/>
        <w:spacing w:after="120" w:before="240"/>
      </w:pPr>
      <w:r>
        <w:rPr>
          <w:rFonts w:ascii="Arial" w:cs="Arial" w:eastAsia="Arial" w:hAnsi="Arial"/>
          <w:b/>
          <w:bCs/>
          <w:color w:val="1A1D23"/>
          <w:sz w:val="24"/>
          <w:szCs w:val="24"/>
        </w:rPr>
        <w:t xml:space="preserve">Step 1 — Retrieve Benchmark (Configurator) per PH per Category</w:t>
      </w:r>
    </w:p>
    <w:p>
      <w:pPr>
        <w:spacing w:after="60" w:before="0"/>
        <w:jc w:val="left"/>
      </w:pPr>
      <w:r>
        <w:rPr>
          <w:rFonts w:ascii="Arial" w:cs="Arial" w:eastAsia="Arial" w:hAnsi="Arial"/>
          <w:sz w:val="20"/>
          <w:szCs w:val="20"/>
        </w:rPr>
        <w:t xml:space="preserve">Paste this prompt into Claude for each PH: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0E3E8" w:sz="4"/>
              <w:left w:val="single" w:color="E0E3E8" w:sz="4"/>
              <w:bottom w:val="single" w:color="E0E3E8" w:sz="4"/>
              <w:right w:val="single" w:color="E0E3E8" w:sz="4"/>
            </w:tcBorders>
            <w:shd w:fill="F4F5F7" w:val="clear"/>
            <w:tcMar>
              <w:top w:type="dxa" w:w="120"/>
              <w:left w:type="dxa" w:w="200"/>
              <w:bottom w:type="dxa" w:w="120"/>
              <w:right w:type="dxa" w:w="200"/>
            </w:tcMar>
            <w:vAlign w:val="top"/>
          </w:tcPr>
          <w:p>
            <w:pPr>
              <w:spacing w:after="50" w:before="0"/>
              <w:jc w:val="left"/>
            </w:pPr>
            <w:r>
              <w:rPr>
                <w:rFonts w:ascii="Courier New" w:cs="Courier New" w:eastAsia="Courier New" w:hAnsi="Courier New"/>
                <w:color w:val="1A1D23"/>
                <w:sz w:val="18"/>
                <w:szCs w:val="18"/>
              </w:rPr>
              <w:t xml:space="preserve">For [PH NAME], identify all product categories they own in UK Amazon FBM.</w:t>
            </w:r>
          </w:p>
          <w:p>
            <w:pPr>
              <w:spacing w:after="50" w:before="0"/>
              <w:jc w:val="left"/>
            </w:pPr>
            <w:r>
              <w:rPr>
                <w:rFonts w:ascii="Courier New" w:cs="Courier New" w:eastAsia="Courier New" w:hAnsi="Courier New"/>
                <w:color w:val="1A1D23"/>
                <w:sz w:val="18"/>
                <w:szCs w:val="18"/>
              </w:rPr>
              <w:t xml:space="preserve">For each category:</w:t>
            </w:r>
          </w:p>
          <w:p>
            <w:pPr>
              <w:spacing w:after="50" w:before="0"/>
              <w:jc w:val="left"/>
            </w:pPr>
            <w:r>
              <w:rPr>
                <w:rFonts w:ascii="Courier New" w:cs="Courier New" w:eastAsia="Courier New" w:hAnsi="Courier New"/>
                <w:color w:val="1A1D23"/>
                <w:sz w:val="18"/>
                <w:szCs w:val="18"/>
              </w:rPr>
              <w:t xml:space="preserve">1. Find the top 30 ASINs by units sold in the last 30 days from order_transaction.</w:t>
            </w:r>
          </w:p>
          <w:p>
            <w:pPr>
              <w:spacing w:after="50" w:before="0"/>
              <w:jc w:val="left"/>
            </w:pPr>
            <w:r>
              <w:rPr>
                <w:rFonts w:ascii="Courier New" w:cs="Courier New" w:eastAsia="Courier New" w:hAnsi="Courier New"/>
                <w:color w:val="1A1D23"/>
                <w:sz w:val="18"/>
                <w:szCs w:val="18"/>
              </w:rPr>
              <w:t xml:space="preserve">   If fewer than 30 ASINs have sales, use top 10 instead.</w:t>
            </w:r>
          </w:p>
          <w:p>
            <w:pPr>
              <w:spacing w:after="50" w:before="0"/>
              <w:jc w:val="left"/>
            </w:pPr>
            <w:r>
              <w:rPr>
                <w:rFonts w:ascii="Courier New" w:cs="Courier New" w:eastAsia="Courier New" w:hAnsi="Courier New"/>
                <w:color w:val="1A1D23"/>
                <w:sz w:val="18"/>
                <w:szCs w:val="18"/>
              </w:rPr>
              <w:t xml:space="preserve">2. From traffic_data (which_channel=1, market_place='UK'), get the average</w:t>
            </w:r>
          </w:p>
          <w:p>
            <w:pPr>
              <w:spacing w:after="50" w:before="0"/>
              <w:jc w:val="left"/>
            </w:pPr>
            <w:r>
              <w:rPr>
                <w:rFonts w:ascii="Courier New" w:cs="Courier New" w:eastAsia="Courier New" w:hAnsi="Courier New"/>
                <w:color w:val="1A1D23"/>
                <w:sz w:val="18"/>
                <w:szCs w:val="18"/>
              </w:rPr>
              <w:t xml:space="preserve">   impression, click, and conversion for those top ASINs in the last 30 days.</w:t>
            </w:r>
          </w:p>
          <w:p>
            <w:pPr>
              <w:spacing w:after="50" w:before="0"/>
              <w:jc w:val="left"/>
            </w:pPr>
            <w:r>
              <w:rPr>
                <w:rFonts w:ascii="Courier New" w:cs="Courier New" w:eastAsia="Courier New" w:hAnsi="Courier New"/>
                <w:color w:val="1A1D23"/>
                <w:sz w:val="18"/>
                <w:szCs w:val="18"/>
              </w:rPr>
              <w:t xml:space="preserve">3. Return the benchmark thresholds for each category:</w:t>
            </w:r>
          </w:p>
          <w:p>
            <w:pPr>
              <w:spacing w:after="50" w:before="0"/>
              <w:jc w:val="left"/>
            </w:pPr>
            <w:r>
              <w:rPr>
                <w:rFonts w:ascii="Courier New" w:cs="Courier New" w:eastAsia="Courier New" w:hAnsi="Courier New"/>
                <w:color w:val="1A1D23"/>
                <w:sz w:val="18"/>
                <w:szCs w:val="18"/>
              </w:rPr>
              <w:t xml:space="preserve">   HIGH Impression = above [avg], LOW = below [avg]</w:t>
            </w:r>
          </w:p>
          <w:p>
            <w:pPr>
              <w:spacing w:after="50" w:before="0"/>
              <w:jc w:val="left"/>
            </w:pPr>
            <w:r>
              <w:rPr>
                <w:rFonts w:ascii="Courier New" w:cs="Courier New" w:eastAsia="Courier New" w:hAnsi="Courier New"/>
                <w:color w:val="1A1D23"/>
                <w:sz w:val="18"/>
                <w:szCs w:val="18"/>
              </w:rPr>
              <w:t xml:space="preserve">   HIGH Click      = above [avg], LOW = below [avg]</w:t>
            </w:r>
          </w:p>
          <w:p>
            <w:pPr>
              <w:spacing w:after="50" w:before="0"/>
              <w:jc w:val="left"/>
            </w:pPr>
            <w:r>
              <w:rPr>
                <w:rFonts w:ascii="Courier New" w:cs="Courier New" w:eastAsia="Courier New" w:hAnsi="Courier New"/>
                <w:color w:val="1A1D23"/>
                <w:sz w:val="18"/>
                <w:szCs w:val="18"/>
              </w:rPr>
              <w:t xml:space="preserve">   HIGH CVR        = above [avg], LOW = below [avg]</w:t>
            </w:r>
          </w:p>
          <w:p>
            <w:pPr>
              <w:spacing w:after="50" w:before="0"/>
              <w:jc w:val="left"/>
            </w:pPr>
            <w:r>
              <w:rPr>
                <w:rFonts w:ascii="Courier New" w:cs="Courier New" w:eastAsia="Courier New" w:hAnsi="Courier New"/>
                <w:color w:val="1A1D23"/>
                <w:sz w:val="18"/>
                <w:szCs w:val="18"/>
              </w:rPr>
              <w:t xml:space="preserve">Show category name, number of benchmark ASINs used (30 or 10), and thresholds.</w:t>
            </w:r>
          </w:p>
          <w:p>
            <w:pPr>
              <w:spacing w:after="50" w:before="0"/>
              <w:jc w:val="left"/>
            </w:pPr>
            <w:r>
              <w:rPr>
                <w:rFonts w:ascii="Courier New" w:cs="Courier New" w:eastAsia="Courier New" w:hAnsi="Courier New"/>
                <w:color w:val="1A1D23"/>
                <w:sz w:val="18"/>
                <w:szCs w:val="18"/>
              </w:rPr>
              <w:t xml:space="preserve">Label each ASIN with LEDSone UK or DCVoltage UK based on ss_name.</w:t>
            </w:r>
          </w:p>
        </w:tc>
      </w:tr>
    </w:tbl>
    <w:p>
      <w:pPr>
        <w:spacing w:after="120" w:before="0"/>
        <w:jc w:val="left"/>
      </w:pPr>
      <w:r>
        <w:rPr>
          <w:rFonts w:ascii="Arial" w:cs="Arial" w:eastAsia="Arial" w:hAnsi="Arial"/>
          <w:sz w:val="20"/>
          <w:szCs w:val="20"/>
        </w:rPr>
        <w:t xml:space="preserve"/>
      </w:r>
    </w:p>
    <w:p>
      <w:pPr>
        <w:pStyle w:val="Heading2"/>
        <w:spacing w:after="120" w:before="240"/>
      </w:pPr>
      <w:r>
        <w:rPr>
          <w:rFonts w:ascii="Arial" w:cs="Arial" w:eastAsia="Arial" w:hAnsi="Arial"/>
          <w:b/>
          <w:bCs/>
          <w:color w:val="1A1D23"/>
          <w:sz w:val="24"/>
          <w:szCs w:val="24"/>
        </w:rPr>
        <w:t xml:space="preserve">Step 2 — Classify All ASINs into Segments (Current Month)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0E3E8" w:sz="4"/>
              <w:left w:val="single" w:color="E0E3E8" w:sz="4"/>
              <w:bottom w:val="single" w:color="E0E3E8" w:sz="4"/>
              <w:right w:val="single" w:color="E0E3E8" w:sz="4"/>
            </w:tcBorders>
            <w:shd w:fill="F4F5F7" w:val="clear"/>
            <w:tcMar>
              <w:top w:type="dxa" w:w="120"/>
              <w:left w:type="dxa" w:w="200"/>
              <w:bottom w:type="dxa" w:w="120"/>
              <w:right w:type="dxa" w:w="200"/>
            </w:tcMar>
            <w:vAlign w:val="top"/>
          </w:tcPr>
          <w:p>
            <w:pPr>
              <w:spacing w:after="50" w:before="0"/>
              <w:jc w:val="left"/>
            </w:pPr>
            <w:r>
              <w:rPr>
                <w:rFonts w:ascii="Courier New" w:cs="Courier New" w:eastAsia="Courier New" w:hAnsi="Courier New"/>
                <w:color w:val="1A1D23"/>
                <w:sz w:val="18"/>
                <w:szCs w:val="18"/>
              </w:rPr>
              <w:t xml:space="preserve">For [PH NAME], using the benchmarks from Step 1:</w:t>
            </w:r>
          </w:p>
          <w:p>
            <w:pPr>
              <w:spacing w:after="50" w:before="0"/>
              <w:jc w:val="left"/>
            </w:pPr>
            <w:r>
              <w:rPr>
                <w:rFonts w:ascii="Courier New" w:cs="Courier New" w:eastAsia="Courier New" w:hAnsi="Courier New"/>
                <w:color w:val="1A1D23"/>
                <w:sz w:val="18"/>
                <w:szCs w:val="18"/>
              </w:rPr>
              <w:t xml:space="preserve">Retrieve all ASINs owned by this PH in UK Amazon FBM from analytics.ph_segment</w:t>
            </w:r>
          </w:p>
          <w:p>
            <w:pPr>
              <w:spacing w:after="50" w:before="0"/>
              <w:jc w:val="left"/>
            </w:pPr>
            <w:r>
              <w:rPr>
                <w:rFonts w:ascii="Courier New" w:cs="Courier New" w:eastAsia="Courier New" w:hAnsi="Courier New"/>
                <w:color w:val="1A1D23"/>
                <w:sz w:val="18"/>
                <w:szCs w:val="18"/>
              </w:rPr>
              <w:t xml:space="preserve">(which_channel=1, market_place='UK', latest period_end).</w:t>
            </w:r>
          </w:p>
          <w:p>
            <w:pPr>
              <w:spacing w:after="50" w:before="0"/>
              <w:jc w:val="left"/>
            </w:pPr>
            <w:r>
              <w:rPr>
                <w:rFonts w:ascii="Courier New" w:cs="Courier New" w:eastAsia="Courier New" w:hAnsi="Courier New"/>
                <w:color w:val="1A1D23"/>
                <w:sz w:val="18"/>
                <w:szCs w:val="18"/>
              </w:rPr>
              <w:t xml:space="preserve">For each ASIN, get the last 30 days of data from traffic_data:</w:t>
            </w:r>
          </w:p>
          <w:p>
            <w:pPr>
              <w:spacing w:after="50" w:before="0"/>
              <w:jc w:val="left"/>
            </w:pPr>
            <w:r>
              <w:rPr>
                <w:rFonts w:ascii="Courier New" w:cs="Courier New" w:eastAsia="Courier New" w:hAnsi="Courier New"/>
                <w:color w:val="1A1D23"/>
                <w:sz w:val="18"/>
                <w:szCs w:val="18"/>
              </w:rPr>
              <w:t xml:space="preserve">  - SUM(impression), SUM(click), CVR = SUM(conversion)/NULLIF(SUM(click),0)*100</w:t>
            </w:r>
          </w:p>
          <w:p>
            <w:pPr>
              <w:spacing w:after="50" w:before="0"/>
              <w:jc w:val="left"/>
            </w:pPr>
            <w:r>
              <w:rPr>
                <w:rFonts w:ascii="Courier New" w:cs="Courier New" w:eastAsia="Courier New" w:hAnsi="Courier New"/>
                <w:color w:val="1A1D23"/>
                <w:sz w:val="18"/>
                <w:szCs w:val="18"/>
              </w:rPr>
              <w:t xml:space="preserve">Apply the category benchmark to classify each ASIN:</w:t>
            </w:r>
          </w:p>
          <w:p>
            <w:pPr>
              <w:spacing w:after="50" w:before="0"/>
              <w:jc w:val="left"/>
            </w:pPr>
            <w:r>
              <w:rPr>
                <w:rFonts w:ascii="Courier New" w:cs="Courier New" w:eastAsia="Courier New" w:hAnsi="Courier New"/>
                <w:color w:val="1A1D23"/>
                <w:sz w:val="18"/>
                <w:szCs w:val="18"/>
              </w:rPr>
              <w:t xml:space="preserve">  - Compare Impression, Click, CVR to its category threshold</w:t>
            </w:r>
          </w:p>
          <w:p>
            <w:pPr>
              <w:spacing w:after="50" w:before="0"/>
              <w:jc w:val="left"/>
            </w:pPr>
            <w:r>
              <w:rPr>
                <w:rFonts w:ascii="Courier New" w:cs="Courier New" w:eastAsia="Courier New" w:hAnsi="Courier New"/>
                <w:color w:val="1A1D23"/>
                <w:sz w:val="18"/>
                <w:szCs w:val="18"/>
              </w:rPr>
              <w:t xml:space="preserve">  - Assign segment code: HHH / HHL / HLH / LHH / LLL / LLH</w:t>
            </w:r>
          </w:p>
          <w:p>
            <w:pPr>
              <w:spacing w:after="50" w:before="0"/>
              <w:jc w:val="left"/>
            </w:pPr>
            <w:r>
              <w:rPr>
                <w:rFonts w:ascii="Courier New" w:cs="Courier New" w:eastAsia="Courier New" w:hAnsi="Courier New"/>
                <w:color w:val="1A1D23"/>
                <w:sz w:val="18"/>
                <w:szCs w:val="18"/>
              </w:rPr>
              <w:t xml:space="preserve">Return: ASIN, SKU, account (LEDSone UK or DCVoltage UK), category,</w:t>
            </w:r>
          </w:p>
          <w:p>
            <w:pPr>
              <w:spacing w:after="50" w:before="0"/>
              <w:jc w:val="left"/>
            </w:pPr>
            <w:r>
              <w:rPr>
                <w:rFonts w:ascii="Courier New" w:cs="Courier New" w:eastAsia="Courier New" w:hAnsi="Courier New"/>
                <w:color w:val="1A1D23"/>
                <w:sz w:val="18"/>
                <w:szCs w:val="18"/>
              </w:rPr>
              <w:t xml:space="preserve">        impression, clicks, CVR, benchmark used, segment code.</w:t>
            </w:r>
          </w:p>
          <w:p>
            <w:pPr>
              <w:spacing w:after="50" w:before="0"/>
              <w:jc w:val="left"/>
            </w:pPr>
            <w:r>
              <w:rPr>
                <w:rFonts w:ascii="Courier New" w:cs="Courier New" w:eastAsia="Courier New" w:hAnsi="Courier New"/>
                <w:color w:val="1A1D23"/>
                <w:sz w:val="18"/>
                <w:szCs w:val="18"/>
              </w:rPr>
              <w:t xml:space="preserve">Sort by segment code, then by impression descending.</w:t>
            </w:r>
          </w:p>
        </w:tc>
      </w:tr>
    </w:tbl>
    <w:p>
      <w:pPr>
        <w:spacing w:after="120" w:before="0"/>
        <w:jc w:val="left"/>
      </w:pPr>
      <w:r>
        <w:rPr>
          <w:rFonts w:ascii="Arial" w:cs="Arial" w:eastAsia="Arial" w:hAnsi="Arial"/>
          <w:sz w:val="20"/>
          <w:szCs w:val="20"/>
        </w:rPr>
        <w:t xml:space="preserve"/>
      </w:r>
    </w:p>
    <w:p>
      <w:pPr>
        <w:pStyle w:val="Heading2"/>
        <w:spacing w:after="120" w:before="240"/>
      </w:pPr>
      <w:r>
        <w:rPr>
          <w:rFonts w:ascii="Arial" w:cs="Arial" w:eastAsia="Arial" w:hAnsi="Arial"/>
          <w:b/>
          <w:bCs/>
          <w:color w:val="1A1D23"/>
          <w:sz w:val="24"/>
          <w:szCs w:val="24"/>
        </w:rPr>
        <w:t xml:space="preserve">Step 3 — Movement Tracking (Compare to Previous Month)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0E3E8" w:sz="4"/>
              <w:left w:val="single" w:color="E0E3E8" w:sz="4"/>
              <w:bottom w:val="single" w:color="E0E3E8" w:sz="4"/>
              <w:right w:val="single" w:color="E0E3E8" w:sz="4"/>
            </w:tcBorders>
            <w:shd w:fill="F4F5F7" w:val="clear"/>
            <w:tcMar>
              <w:top w:type="dxa" w:w="120"/>
              <w:left w:type="dxa" w:w="200"/>
              <w:bottom w:type="dxa" w:w="120"/>
              <w:right w:type="dxa" w:w="200"/>
            </w:tcMar>
            <w:vAlign w:val="top"/>
          </w:tcPr>
          <w:p>
            <w:pPr>
              <w:spacing w:after="50" w:before="0"/>
              <w:jc w:val="left"/>
            </w:pPr>
            <w:r>
              <w:rPr>
                <w:rFonts w:ascii="Courier New" w:cs="Courier New" w:eastAsia="Courier New" w:hAnsi="Courier New"/>
                <w:color w:val="1A1D23"/>
                <w:sz w:val="18"/>
                <w:szCs w:val="18"/>
              </w:rPr>
              <w:t xml:space="preserve">For [PH NAME], repeat Step 2 for the PREVIOUS 30-day window</w:t>
            </w:r>
          </w:p>
          <w:p>
            <w:pPr>
              <w:spacing w:after="50" w:before="0"/>
              <w:jc w:val="left"/>
            </w:pPr>
            <w:r>
              <w:rPr>
                <w:rFonts w:ascii="Courier New" w:cs="Courier New" w:eastAsia="Courier New" w:hAnsi="Courier New"/>
                <w:color w:val="1A1D23"/>
                <w:sz w:val="18"/>
                <w:szCs w:val="18"/>
              </w:rPr>
              <w:t xml:space="preserve">(days 31–60 from today — i.e. the month before current).</w:t>
            </w:r>
          </w:p>
          <w:p>
            <w:pPr>
              <w:spacing w:after="50" w:before="0"/>
              <w:jc w:val="left"/>
            </w:pPr>
            <w:r>
              <w:rPr>
                <w:rFonts w:ascii="Courier New" w:cs="Courier New" w:eastAsia="Courier New" w:hAnsi="Courier New"/>
                <w:color w:val="1A1D23"/>
                <w:sz w:val="18"/>
                <w:szCs w:val="18"/>
              </w:rPr>
              <w:t xml:space="preserve">Then for each ASIN:</w:t>
            </w:r>
          </w:p>
          <w:p>
            <w:pPr>
              <w:spacing w:after="50" w:before="0"/>
              <w:jc w:val="left"/>
            </w:pPr>
            <w:r>
              <w:rPr>
                <w:rFonts w:ascii="Courier New" w:cs="Courier New" w:eastAsia="Courier New" w:hAnsi="Courier New"/>
                <w:color w:val="1A1D23"/>
                <w:sz w:val="18"/>
                <w:szCs w:val="18"/>
              </w:rPr>
              <w:t xml:space="preserve">  - Compare current segment code to previous segment code.</w:t>
            </w:r>
          </w:p>
          <w:p>
            <w:pPr>
              <w:spacing w:after="50" w:before="0"/>
              <w:jc w:val="left"/>
            </w:pPr>
            <w:r>
              <w:rPr>
                <w:rFonts w:ascii="Courier New" w:cs="Courier New" w:eastAsia="Courier New" w:hAnsi="Courier New"/>
                <w:color w:val="1A1D23"/>
                <w:sz w:val="18"/>
                <w:szCs w:val="18"/>
              </w:rPr>
              <w:t xml:space="preserve">  - Label movement as:</w:t>
            </w:r>
          </w:p>
          <w:p>
            <w:pPr>
              <w:spacing w:after="50" w:before="0"/>
              <w:jc w:val="left"/>
            </w:pPr>
            <w:r>
              <w:rPr>
                <w:rFonts w:ascii="Courier New" w:cs="Courier New" w:eastAsia="Courier New" w:hAnsi="Courier New"/>
                <w:color w:val="1A1D23"/>
                <w:sz w:val="18"/>
                <w:szCs w:val="18"/>
              </w:rPr>
              <w:t xml:space="preserve">      IMPROVED  → moved to a segment with more HIGH signals</w:t>
            </w:r>
          </w:p>
          <w:p>
            <w:pPr>
              <w:spacing w:after="50" w:before="0"/>
              <w:jc w:val="left"/>
            </w:pPr>
            <w:r>
              <w:rPr>
                <w:rFonts w:ascii="Courier New" w:cs="Courier New" w:eastAsia="Courier New" w:hAnsi="Courier New"/>
                <w:color w:val="1A1D23"/>
                <w:sz w:val="18"/>
                <w:szCs w:val="18"/>
              </w:rPr>
              <w:t xml:space="preserve">      SAME      → segment code unchanged</w:t>
            </w:r>
          </w:p>
          <w:p>
            <w:pPr>
              <w:spacing w:after="50" w:before="0"/>
              <w:jc w:val="left"/>
            </w:pPr>
            <w:r>
              <w:rPr>
                <w:rFonts w:ascii="Courier New" w:cs="Courier New" w:eastAsia="Courier New" w:hAnsi="Courier New"/>
                <w:color w:val="1A1D23"/>
                <w:sz w:val="18"/>
                <w:szCs w:val="18"/>
              </w:rPr>
              <w:t xml:space="preserve">      DECLINED  → moved to a segment with fewer HIGH signals</w:t>
            </w:r>
          </w:p>
          <w:p>
            <w:pPr>
              <w:spacing w:after="50" w:before="0"/>
              <w:jc w:val="left"/>
            </w:pPr>
            <w:r>
              <w:rPr>
                <w:rFonts w:ascii="Courier New" w:cs="Courier New" w:eastAsia="Courier New" w:hAnsi="Courier New"/>
                <w:color w:val="1A1D23"/>
                <w:sz w:val="18"/>
                <w:szCs w:val="18"/>
              </w:rPr>
              <w:t xml:space="preserve">      NEW       → ASIN not present in previous period</w:t>
            </w:r>
          </w:p>
          <w:p>
            <w:pPr>
              <w:spacing w:after="50" w:before="0"/>
              <w:jc w:val="left"/>
            </w:pPr>
            <w:r>
              <w:rPr>
                <w:rFonts w:ascii="Courier New" w:cs="Courier New" w:eastAsia="Courier New" w:hAnsi="Courier New"/>
                <w:color w:val="1A1D23"/>
                <w:sz w:val="18"/>
                <w:szCs w:val="18"/>
              </w:rPr>
              <w:t xml:space="preserve">Return: ASIN, previous segment, current segment, movement label, account name.</w:t>
            </w:r>
          </w:p>
          <w:p>
            <w:pPr>
              <w:spacing w:after="50" w:before="0"/>
              <w:jc w:val="left"/>
            </w:pPr>
            <w:r>
              <w:rPr>
                <w:rFonts w:ascii="Courier New" w:cs="Courier New" w:eastAsia="Courier New" w:hAnsi="Courier New"/>
                <w:color w:val="1A1D23"/>
                <w:sz w:val="18"/>
                <w:szCs w:val="18"/>
              </w:rPr>
              <w:t xml:space="preserve">Sort by movement: DECLINED first, then SAME, then IMPROVED, then NEW.</w:t>
            </w:r>
          </w:p>
        </w:tc>
      </w:tr>
    </w:tbl>
    <w:p>
      <w:pPr>
        <w:spacing w:after="120" w:before="0"/>
        <w:jc w:val="left"/>
      </w:pPr>
      <w:r>
        <w:rPr>
          <w:rFonts w:ascii="Arial" w:cs="Arial" w:eastAsia="Arial" w:hAnsi="Arial"/>
          <w:sz w:val="20"/>
          <w:szCs w:val="20"/>
        </w:rPr>
        <w:t xml:space="preserve"/>
      </w:r>
    </w:p>
    <w:p>
      <w:pPr>
        <w:pStyle w:val="Heading2"/>
        <w:spacing w:after="120" w:before="240"/>
      </w:pPr>
      <w:r>
        <w:rPr>
          <w:rFonts w:ascii="Arial" w:cs="Arial" w:eastAsia="Arial" w:hAnsi="Arial"/>
          <w:b/>
          <w:bCs/>
          <w:color w:val="1A1D23"/>
          <w:sz w:val="24"/>
          <w:szCs w:val="24"/>
        </w:rPr>
        <w:t xml:space="preserve">Step 4 — Generate Full Monthly Report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0E3E8" w:sz="4"/>
              <w:left w:val="single" w:color="E0E3E8" w:sz="4"/>
              <w:bottom w:val="single" w:color="E0E3E8" w:sz="4"/>
              <w:right w:val="single" w:color="E0E3E8" w:sz="4"/>
            </w:tcBorders>
            <w:shd w:fill="F4F5F7" w:val="clear"/>
            <w:tcMar>
              <w:top w:type="dxa" w:w="120"/>
              <w:left w:type="dxa" w:w="200"/>
              <w:bottom w:type="dxa" w:w="120"/>
              <w:right w:type="dxa" w:w="200"/>
            </w:tcMar>
            <w:vAlign w:val="top"/>
          </w:tcPr>
          <w:p>
            <w:pPr>
              <w:spacing w:after="50" w:before="0"/>
              <w:jc w:val="left"/>
            </w:pPr>
            <w:r>
              <w:rPr>
                <w:rFonts w:ascii="Courier New" w:cs="Courier New" w:eastAsia="Courier New" w:hAnsi="Courier New"/>
                <w:color w:val="1A1D23"/>
                <w:sz w:val="18"/>
                <w:szCs w:val="18"/>
              </w:rPr>
              <w:t xml:space="preserve">Generate the monthly PH ASIN Segmentation HTML report for [MONTH YEAR].</w:t>
            </w:r>
          </w:p>
          <w:p>
            <w:pPr>
              <w:spacing w:after="50" w:before="0"/>
              <w:jc w:val="left"/>
            </w:pPr>
            <w:r>
              <w:rPr>
                <w:rFonts w:ascii="Courier New" w:cs="Courier New" w:eastAsia="Courier New" w:hAnsi="Courier New"/>
                <w:color w:val="1A1D23"/>
                <w:sz w:val="18"/>
                <w:szCs w:val="18"/>
              </w:rPr>
              <w:t xml:space="preserve">Use the segment classifications and movement data from Steps 1–3 for all PHs.</w:t>
            </w:r>
          </w:p>
          <w:p>
            <w:pPr>
              <w:spacing w:after="50" w:before="0"/>
              <w:jc w:val="left"/>
            </w:pPr>
            <w:r>
              <w:rPr>
                <w:rFonts w:ascii="Courier New" w:cs="Courier New" w:eastAsia="Courier New" w:hAnsi="Courier New"/>
                <w:color w:val="1A1D23"/>
                <w:sz w:val="18"/>
                <w:szCs w:val="18"/>
              </w:rPr>
              <w:t xml:space="preserve">Format requirements:</w:t>
            </w:r>
          </w:p>
          <w:p>
            <w:pPr>
              <w:spacing w:after="50" w:before="0"/>
              <w:jc w:val="left"/>
            </w:pPr>
            <w:r>
              <w:rPr>
                <w:rFonts w:ascii="Courier New" w:cs="Courier New" w:eastAsia="Courier New" w:hAnsi="Courier New"/>
                <w:color w:val="1A1D23"/>
                <w:sz w:val="18"/>
                <w:szCs w:val="18"/>
              </w:rPr>
              <w:t xml:space="preserve">  - Dark header bar with report title, date, and data window</w:t>
            </w:r>
          </w:p>
          <w:p>
            <w:pPr>
              <w:spacing w:after="50" w:before="0"/>
              <w:jc w:val="left"/>
            </w:pPr>
            <w:r>
              <w:rPr>
                <w:rFonts w:ascii="Courier New" w:cs="Courier New" w:eastAsia="Courier New" w:hAnsi="Courier New"/>
                <w:color w:val="1A1D23"/>
                <w:sz w:val="18"/>
                <w:szCs w:val="18"/>
              </w:rPr>
              <w:t xml:space="preserve">  - Six segment tabs: HHH / HHL / HLH / LHH / LLL / LLH with ASIN count badges</w:t>
            </w:r>
          </w:p>
          <w:p>
            <w:pPr>
              <w:spacing w:after="50" w:before="0"/>
              <w:jc w:val="left"/>
            </w:pPr>
            <w:r>
              <w:rPr>
                <w:rFonts w:ascii="Courier New" w:cs="Courier New" w:eastAsia="Courier New" w:hAnsi="Courier New"/>
                <w:color w:val="1A1D23"/>
                <w:sz w:val="18"/>
                <w:szCs w:val="18"/>
              </w:rPr>
              <w:t xml:space="preserve">  - Left sidebar with all PH names — clicking a name filters to that PH only</w:t>
            </w:r>
          </w:p>
          <w:p>
            <w:pPr>
              <w:spacing w:after="50" w:before="0"/>
              <w:jc w:val="left"/>
            </w:pPr>
            <w:r>
              <w:rPr>
                <w:rFonts w:ascii="Courier New" w:cs="Courier New" w:eastAsia="Courier New" w:hAnsi="Courier New"/>
                <w:color w:val="1A1D23"/>
                <w:sz w:val="18"/>
                <w:szCs w:val="18"/>
              </w:rPr>
              <w:t xml:space="preserve">  - Each PH has a configurator panel showing their category benchmarks</w:t>
            </w:r>
          </w:p>
          <w:p>
            <w:pPr>
              <w:spacing w:after="50" w:before="0"/>
              <w:jc w:val="left"/>
            </w:pPr>
            <w:r>
              <w:rPr>
                <w:rFonts w:ascii="Courier New" w:cs="Courier New" w:eastAsia="Courier New" w:hAnsi="Courier New"/>
                <w:color w:val="1A1D23"/>
                <w:sz w:val="18"/>
                <w:szCs w:val="18"/>
              </w:rPr>
              <w:t xml:space="preserve">  - Each ASIN card shows: ASIN, SKU, LEDSone UK or DCVoltage UK tag, category,</w:t>
            </w:r>
          </w:p>
          <w:p>
            <w:pPr>
              <w:spacing w:after="50" w:before="0"/>
              <w:jc w:val="left"/>
            </w:pPr>
            <w:r>
              <w:rPr>
                <w:rFonts w:ascii="Courier New" w:cs="Courier New" w:eastAsia="Courier New" w:hAnsi="Courier New"/>
                <w:color w:val="1A1D23"/>
                <w:sz w:val="18"/>
                <w:szCs w:val="18"/>
              </w:rPr>
              <w:t xml:space="preserve">    impression, clicks, CVR, benchmark, segment, movement arrow and previous segment</w:t>
            </w:r>
          </w:p>
          <w:p>
            <w:pPr>
              <w:spacing w:after="50" w:before="0"/>
              <w:jc w:val="left"/>
            </w:pPr>
            <w:r>
              <w:rPr>
                <w:rFonts w:ascii="Courier New" w:cs="Courier New" w:eastAsia="Courier New" w:hAnsi="Courier New"/>
                <w:color w:val="1A1D23"/>
                <w:sz w:val="18"/>
                <w:szCs w:val="18"/>
              </w:rPr>
              <w:t xml:space="preserve">  - Tick/done box per ASIN for Bietrick to mark as actioned</w:t>
            </w:r>
          </w:p>
          <w:p>
            <w:pPr>
              <w:spacing w:after="50" w:before="0"/>
              <w:jc w:val="left"/>
            </w:pPr>
            <w:r>
              <w:rPr>
                <w:rFonts w:ascii="Courier New" w:cs="Courier New" w:eastAsia="Courier New" w:hAnsi="Courier New"/>
                <w:color w:val="1A1D23"/>
                <w:sz w:val="18"/>
                <w:szCs w:val="18"/>
              </w:rPr>
              <w:t xml:space="preserve">  - Progress bar per PH showing how many ASINs have been actioned</w:t>
            </w:r>
          </w:p>
          <w:p>
            <w:pPr>
              <w:spacing w:after="50" w:before="0"/>
              <w:jc w:val="left"/>
            </w:pPr>
            <w:r>
              <w:rPr>
                <w:rFonts w:ascii="Courier New" w:cs="Courier New" w:eastAsia="Courier New" w:hAnsi="Courier New"/>
                <w:color w:val="1A1D23"/>
                <w:sz w:val="18"/>
                <w:szCs w:val="18"/>
              </w:rPr>
              <w:t xml:space="preserve">  - Action plan summary shown at the top of each segment tab</w:t>
            </w:r>
          </w:p>
          <w:p>
            <w:pPr>
              <w:spacing w:after="50" w:before="0"/>
              <w:jc w:val="left"/>
            </w:pPr>
            <w:r>
              <w:rPr>
                <w:rFonts w:ascii="Courier New" w:cs="Courier New" w:eastAsia="Courier New" w:hAnsi="Courier New"/>
                <w:color w:val="1A1D23"/>
                <w:sz w:val="18"/>
                <w:szCs w:val="18"/>
              </w:rPr>
              <w:t xml:space="preserve">  - White theme, Poppins font, colour-coded segment tags</w:t>
            </w:r>
          </w:p>
          <w:p>
            <w:pPr>
              <w:spacing w:after="50" w:before="0"/>
              <w:jc w:val="left"/>
            </w:pPr>
            <w:r>
              <w:rPr>
                <w:rFonts w:ascii="Courier New" w:cs="Courier New" w:eastAsia="Courier New" w:hAnsi="Courier New"/>
                <w:color w:val="1A1D23"/>
                <w:sz w:val="18"/>
                <w:szCs w:val="18"/>
              </w:rPr>
              <w:t xml:space="preserve">Output as downloadable HTML file.</w:t>
            </w:r>
          </w:p>
        </w:tc>
      </w:tr>
    </w:tbl>
    <w:p>
      <w:pPr>
        <w:spacing w:after="120" w:before="0"/>
        <w:jc w:val="left"/>
      </w:pPr>
      <w:r>
        <w:rPr>
          <w:rFonts w:ascii="Arial" w:cs="Arial" w:eastAsia="Arial" w:hAnsi="Arial"/>
          <w:sz w:val="20"/>
          <w:szCs w:val="20"/>
        </w:rPr>
        <w:t xml:space="preserve"/>
      </w:r>
    </w:p>
    <w:p>
      <w:pPr>
        <w:pStyle w:val="Heading1"/>
        <w:pBdr>
          <w:bottom w:val="single" w:color="C0392B" w:sz="6" w:space="4"/>
        </w:pBdr>
        <w:spacing w:after="160" w:before="320"/>
      </w:pPr>
      <w:r>
        <w:rPr>
          <w:rFonts w:ascii="Arial" w:cs="Arial" w:eastAsia="Arial" w:hAnsi="Arial"/>
          <w:b/>
          <w:bCs/>
          <w:color w:val="C0392B"/>
          <w:sz w:val="28"/>
          <w:szCs w:val="28"/>
        </w:rPr>
        <w:t xml:space="preserve">5. MONTHLY REPORT STRUCTURE &amp; VISUAL FORMAT</w:t>
      </w:r>
    </w:p>
    <w:p>
      <w:pPr>
        <w:spacing w:after="120" w:before="0"/>
        <w:jc w:val="left"/>
      </w:pPr>
      <w:r>
        <w:rPr>
          <w:rFonts w:ascii="Arial" w:cs="Arial" w:eastAsia="Arial" w:hAnsi="Arial"/>
          <w:sz w:val="20"/>
          <w:szCs w:val="20"/>
        </w:rPr>
        <w:t xml:space="preserve">The report is generated as an interactive HTML file on the 1st of every month. The visual format is described below. Developers building the automated version must replicate this structure exactly.</w:t>
      </w:r>
    </w:p>
    <w:p>
      <w:pPr>
        <w:pStyle w:val="Heading2"/>
        <w:spacing w:after="120" w:before="240"/>
      </w:pPr>
      <w:r>
        <w:rPr>
          <w:rFonts w:ascii="Arial" w:cs="Arial" w:eastAsia="Arial" w:hAnsi="Arial"/>
          <w:b/>
          <w:bCs/>
          <w:color w:val="1A1D23"/>
          <w:sz w:val="24"/>
          <w:szCs w:val="24"/>
        </w:rPr>
        <w:t xml:space="preserve">5.1 Report Layout Components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6080"/>
      </w:tblGrid>
      <w:tr>
        <w:trPr>
          <w:tblHeader/>
        </w:trPr>
        <w:tc>
          <w:tcPr>
            <w:tcW w:type="dxa" w:w="240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Component</w:t>
            </w:r>
          </w:p>
        </w:tc>
        <w:tc>
          <w:tcPr>
            <w:tcW w:type="dxa" w:w="160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Location</w:t>
            </w:r>
          </w:p>
        </w:tc>
        <w:tc>
          <w:tcPr>
            <w:tcW w:type="dxa" w:w="608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Description</w:t>
            </w:r>
          </w:p>
        </w:tc>
      </w:tr>
      <w:tr>
        <w:tc>
          <w:tcPr>
            <w:tcW w:type="dxa" w:w="24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Header Bar</w:t>
            </w:r>
          </w:p>
        </w:tc>
        <w:tc>
          <w:tcPr>
            <w:tcW w:type="dxa" w:w="16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Top full-width</w:t>
            </w:r>
          </w:p>
        </w:tc>
        <w:tc>
          <w:tcPr>
            <w:tcW w:type="dxa" w:w="608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Dark background. Report title, month, data window (last 30 days), generation date.</w:t>
            </w:r>
          </w:p>
        </w:tc>
      </w:tr>
      <w:tr>
        <w:tc>
          <w:tcPr>
            <w:tcW w:type="dxa" w:w="24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Segment Tabs</w:t>
            </w:r>
          </w:p>
        </w:tc>
        <w:tc>
          <w:tcPr>
            <w:tcW w:type="dxa" w:w="16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Below header</w:t>
            </w:r>
          </w:p>
        </w:tc>
        <w:tc>
          <w:tcPr>
            <w:tcW w:type="dxa" w:w="608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Six tabs — HHH / HHL / HLH / LHH / LLL / LLH. Each shows ASIN count badge. Active tab highlighted in segment colour.</w:t>
            </w:r>
          </w:p>
        </w:tc>
      </w:tr>
      <w:tr>
        <w:tc>
          <w:tcPr>
            <w:tcW w:type="dxa" w:w="24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PH Sidebar</w:t>
            </w:r>
          </w:p>
        </w:tc>
        <w:tc>
          <w:tcPr>
            <w:tcW w:type="dxa" w:w="16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Left panel</w:t>
            </w:r>
          </w:p>
        </w:tc>
        <w:tc>
          <w:tcPr>
            <w:tcW w:type="dxa" w:w="608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All 28 PH names. Clicking a name filters the main area to that PH's ASINs only. 'All PHs' shows everyone.</w:t>
            </w:r>
          </w:p>
        </w:tc>
      </w:tr>
      <w:tr>
        <w:tc>
          <w:tcPr>
            <w:tcW w:type="dxa" w:w="24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Configurator Panel</w:t>
            </w:r>
          </w:p>
        </w:tc>
        <w:tc>
          <w:tcPr>
            <w:tcW w:type="dxa" w:w="16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Per PH block</w:t>
            </w:r>
          </w:p>
        </w:tc>
        <w:tc>
          <w:tcPr>
            <w:tcW w:type="dxa" w:w="608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Shows the PH's category benchmarks — category name, number of ASINs used (30 or 10), and the Impression / Click / CVR thresholds.</w:t>
            </w:r>
          </w:p>
        </w:tc>
      </w:tr>
      <w:tr>
        <w:tc>
          <w:tcPr>
            <w:tcW w:type="dxa" w:w="24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ASIN Cards</w:t>
            </w:r>
          </w:p>
        </w:tc>
        <w:tc>
          <w:tcPr>
            <w:tcW w:type="dxa" w:w="16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Main content area</w:t>
            </w:r>
          </w:p>
        </w:tc>
        <w:tc>
          <w:tcPr>
            <w:tcW w:type="dxa" w:w="608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One card per ASIN. Shows: ASIN, account tag, SKU, category, live metrics, benchmark, segment code, movement arrow and previous segment.</w:t>
            </w:r>
          </w:p>
        </w:tc>
      </w:tr>
      <w:tr>
        <w:tc>
          <w:tcPr>
            <w:tcW w:type="dxa" w:w="24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Tick Box</w:t>
            </w:r>
          </w:p>
        </w:tc>
        <w:tc>
          <w:tcPr>
            <w:tcW w:type="dxa" w:w="16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Right of each card</w:t>
            </w:r>
          </w:p>
        </w:tc>
        <w:tc>
          <w:tcPr>
            <w:tcW w:type="dxa" w:w="608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Checkbox the sub-leader or Bietrick ticks when the action for that ASIN has been assigned or completed.</w:t>
            </w:r>
          </w:p>
        </w:tc>
      </w:tr>
      <w:tr>
        <w:tc>
          <w:tcPr>
            <w:tcW w:type="dxa" w:w="24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Progress Bar</w:t>
            </w:r>
          </w:p>
        </w:tc>
        <w:tc>
          <w:tcPr>
            <w:tcW w:type="dxa" w:w="16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Per PH header</w:t>
            </w:r>
          </w:p>
        </w:tc>
        <w:tc>
          <w:tcPr>
            <w:tcW w:type="dxa" w:w="608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Shows X of Y ASINs actioned for each PH. Updates live as tick boxes are checked.</w:t>
            </w:r>
          </w:p>
        </w:tc>
      </w:tr>
      <w:tr>
        <w:tc>
          <w:tcPr>
            <w:tcW w:type="dxa" w:w="24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Action Plan</w:t>
            </w:r>
          </w:p>
        </w:tc>
        <w:tc>
          <w:tcPr>
            <w:tcW w:type="dxa" w:w="16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Top of each tab</w:t>
            </w:r>
          </w:p>
        </w:tc>
        <w:tc>
          <w:tcPr>
            <w:tcW w:type="dxa" w:w="608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Summary of the action plan for that segment — pulled from Section 3 of this document.</w:t>
            </w:r>
          </w:p>
        </w:tc>
      </w:tr>
      <w:tr>
        <w:tc>
          <w:tcPr>
            <w:tcW w:type="dxa" w:w="24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Movement Indicator</w:t>
            </w:r>
          </w:p>
        </w:tc>
        <w:tc>
          <w:tcPr>
            <w:tcW w:type="dxa" w:w="16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On each ASIN card</w:t>
            </w:r>
          </w:p>
        </w:tc>
        <w:tc>
          <w:tcPr>
            <w:tcW w:type="dxa" w:w="608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 Green (improved), → Grey (same), ↓ Red (declined), ★ Blue (new ASIN).</w:t>
            </w:r>
          </w:p>
        </w:tc>
      </w:tr>
    </w:tbl>
    <w:p>
      <w:pPr>
        <w:spacing w:after="120" w:before="0"/>
        <w:jc w:val="left"/>
      </w:pPr>
      <w:r>
        <w:rPr>
          <w:rFonts w:ascii="Arial" w:cs="Arial" w:eastAsia="Arial" w:hAnsi="Arial"/>
          <w:sz w:val="20"/>
          <w:szCs w:val="20"/>
        </w:rPr>
        <w:t xml:space="preserve"/>
      </w:r>
    </w:p>
    <w:p>
      <w:pPr>
        <w:pStyle w:val="Heading2"/>
        <w:spacing w:after="120" w:before="240"/>
      </w:pPr>
      <w:r>
        <w:rPr>
          <w:rFonts w:ascii="Arial" w:cs="Arial" w:eastAsia="Arial" w:hAnsi="Arial"/>
          <w:b/>
          <w:bCs/>
          <w:color w:val="1A1D23"/>
          <w:sz w:val="24"/>
          <w:szCs w:val="24"/>
        </w:rPr>
        <w:t xml:space="preserve">5.2 Segment Colour Coding</w:t>
      </w:r>
    </w:p>
    <w:tbl>
      <w:tblPr>
        <w:tblW w:type="dxa" w:w="1208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1800"/>
        <w:gridCol w:w="4880"/>
      </w:tblGrid>
      <w:tr>
        <w:trPr>
          <w:tblHeader/>
        </w:trPr>
        <w:tc>
          <w:tcPr>
            <w:tcW w:type="dxa" w:w="120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Segment</w:t>
            </w:r>
          </w:p>
        </w:tc>
        <w:tc>
          <w:tcPr>
            <w:tcW w:type="dxa" w:w="240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Card Colour</w:t>
            </w:r>
          </w:p>
        </w:tc>
        <w:tc>
          <w:tcPr>
            <w:tcW w:type="dxa" w:w="180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Tab Colour</w:t>
            </w:r>
          </w:p>
        </w:tc>
        <w:tc>
          <w:tcPr>
            <w:tcW w:type="dxa" w:w="180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Badge Colour</w:t>
            </w:r>
          </w:p>
        </w:tc>
        <w:tc>
          <w:tcPr>
            <w:tcW w:type="dxa" w:w="488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Movement Colours</w:t>
            </w:r>
          </w:p>
        </w:tc>
      </w:tr>
      <w:tr>
        <w:tc>
          <w:tcPr>
            <w:tcW w:type="dxa" w:w="12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HHH</w:t>
            </w:r>
          </w:p>
        </w:tc>
        <w:tc>
          <w:tcPr>
            <w:tcW w:type="dxa" w:w="24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Green tint (#E8F7EE)</w:t>
            </w:r>
          </w:p>
        </w:tc>
        <w:tc>
          <w:tcPr>
            <w:tcW w:type="dxa" w:w="18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#1A8A4A</w:t>
            </w:r>
          </w:p>
        </w:tc>
        <w:tc>
          <w:tcPr>
            <w:tcW w:type="dxa" w:w="18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Green</w:t>
            </w:r>
          </w:p>
        </w:tc>
        <w:tc>
          <w:tcPr>
            <w:tcW w:type="dxa" w:w="488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 Darker green / → Grey / ↓ Red</w:t>
            </w:r>
          </w:p>
        </w:tc>
      </w:tr>
      <w:tr>
        <w:tc>
          <w:tcPr>
            <w:tcW w:type="dxa" w:w="12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HHL</w:t>
            </w:r>
          </w:p>
        </w:tc>
        <w:tc>
          <w:tcPr>
            <w:tcW w:type="dxa" w:w="24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Amber tint (#FFFBF0)</w:t>
            </w:r>
          </w:p>
        </w:tc>
        <w:tc>
          <w:tcPr>
            <w:tcW w:type="dxa" w:w="18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#B87800</w:t>
            </w:r>
          </w:p>
        </w:tc>
        <w:tc>
          <w:tcPr>
            <w:tcW w:type="dxa" w:w="18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Amber</w:t>
            </w:r>
          </w:p>
        </w:tc>
        <w:tc>
          <w:tcPr>
            <w:tcW w:type="dxa" w:w="488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 Green / → Grey / ↓ Red</w:t>
            </w:r>
          </w:p>
        </w:tc>
      </w:tr>
      <w:tr>
        <w:tc>
          <w:tcPr>
            <w:tcW w:type="dxa" w:w="12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HLH</w:t>
            </w:r>
          </w:p>
        </w:tc>
        <w:tc>
          <w:tcPr>
            <w:tcW w:type="dxa" w:w="24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Blue tint (#EAF4FB)</w:t>
            </w:r>
          </w:p>
        </w:tc>
        <w:tc>
          <w:tcPr>
            <w:tcW w:type="dxa" w:w="18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#1A6E99</w:t>
            </w:r>
          </w:p>
        </w:tc>
        <w:tc>
          <w:tcPr>
            <w:tcW w:type="dxa" w:w="18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Blue</w:t>
            </w:r>
          </w:p>
        </w:tc>
        <w:tc>
          <w:tcPr>
            <w:tcW w:type="dxa" w:w="488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 Green / → Grey / ↓ Red</w:t>
            </w:r>
          </w:p>
        </w:tc>
      </w:tr>
      <w:tr>
        <w:tc>
          <w:tcPr>
            <w:tcW w:type="dxa" w:w="12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LHH</w:t>
            </w:r>
          </w:p>
        </w:tc>
        <w:tc>
          <w:tcPr>
            <w:tcW w:type="dxa" w:w="24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Purple tint (#F3EEF9)</w:t>
            </w:r>
          </w:p>
        </w:tc>
        <w:tc>
          <w:tcPr>
            <w:tcW w:type="dxa" w:w="18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#6B3FA0</w:t>
            </w:r>
          </w:p>
        </w:tc>
        <w:tc>
          <w:tcPr>
            <w:tcW w:type="dxa" w:w="18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Purple</w:t>
            </w:r>
          </w:p>
        </w:tc>
        <w:tc>
          <w:tcPr>
            <w:tcW w:type="dxa" w:w="488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 Green / → Grey / ↓ Red</w:t>
            </w:r>
          </w:p>
        </w:tc>
      </w:tr>
      <w:tr>
        <w:tc>
          <w:tcPr>
            <w:tcW w:type="dxa" w:w="12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LLL</w:t>
            </w:r>
          </w:p>
        </w:tc>
        <w:tc>
          <w:tcPr>
            <w:tcW w:type="dxa" w:w="24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Red tint (#FDF0EF)</w:t>
            </w:r>
          </w:p>
        </w:tc>
        <w:tc>
          <w:tcPr>
            <w:tcW w:type="dxa" w:w="18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#C0392B</w:t>
            </w:r>
          </w:p>
        </w:tc>
        <w:tc>
          <w:tcPr>
            <w:tcW w:type="dxa" w:w="18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Red</w:t>
            </w:r>
          </w:p>
        </w:tc>
        <w:tc>
          <w:tcPr>
            <w:tcW w:type="dxa" w:w="488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 Green / → Grey / ↓ Red</w:t>
            </w:r>
          </w:p>
        </w:tc>
      </w:tr>
      <w:tr>
        <w:tc>
          <w:tcPr>
            <w:tcW w:type="dxa" w:w="12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LLH</w:t>
            </w:r>
          </w:p>
        </w:tc>
        <w:tc>
          <w:tcPr>
            <w:tcW w:type="dxa" w:w="24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Teal tint (#E6F7F7)</w:t>
            </w:r>
          </w:p>
        </w:tc>
        <w:tc>
          <w:tcPr>
            <w:tcW w:type="dxa" w:w="18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#0D7377</w:t>
            </w:r>
          </w:p>
        </w:tc>
        <w:tc>
          <w:tcPr>
            <w:tcW w:type="dxa" w:w="18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Teal</w:t>
            </w:r>
          </w:p>
        </w:tc>
        <w:tc>
          <w:tcPr>
            <w:tcW w:type="dxa" w:w="488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 Green / → Grey / ↓ Red</w:t>
            </w:r>
          </w:p>
        </w:tc>
      </w:tr>
    </w:tbl>
    <w:p>
      <w:pPr>
        <w:spacing w:after="120" w:before="0"/>
        <w:jc w:val="left"/>
      </w:pPr>
      <w:r>
        <w:rPr>
          <w:rFonts w:ascii="Arial" w:cs="Arial" w:eastAsia="Arial" w:hAnsi="Arial"/>
          <w:sz w:val="20"/>
          <w:szCs w:val="20"/>
        </w:rPr>
        <w:t xml:space="preserve"/>
      </w:r>
    </w:p>
    <w:p>
      <w:pPr>
        <w:pStyle w:val="Heading2"/>
        <w:spacing w:after="120" w:before="240"/>
      </w:pPr>
      <w:r>
        <w:rPr>
          <w:rFonts w:ascii="Arial" w:cs="Arial" w:eastAsia="Arial" w:hAnsi="Arial"/>
          <w:b/>
          <w:bCs/>
          <w:color w:val="1A1D23"/>
          <w:sz w:val="24"/>
          <w:szCs w:val="24"/>
        </w:rPr>
        <w:t xml:space="preserve">5.3 HTML Report Visual Mock</w:t>
      </w:r>
    </w:p>
    <w:p>
      <w:pPr>
        <w:spacing w:after="40" w:before="0"/>
        <w:jc w:val="left"/>
      </w:pPr>
      <w:r>
        <w:rPr>
          <w:rFonts w:ascii="Arial" w:cs="Arial" w:eastAsia="Arial" w:hAnsi="Arial"/>
          <w:sz w:val="20"/>
          <w:szCs w:val="20"/>
        </w:rPr>
        <w:t xml:space="preserve"/>
      </w:r>
    </w:p>
    <w:p>
      <w:pPr>
        <w:spacing w:after="80" w:before="0"/>
        <w:jc w:val="left"/>
      </w:pPr>
      <w:r>
        <w:rPr>
          <w:rFonts w:ascii="Arial" w:cs="Arial" w:eastAsia="Arial" w:hAnsi="Arial"/>
          <w:b/>
          <w:bCs/>
          <w:color w:val="1A1D23"/>
          <w:sz w:val="22"/>
          <w:szCs w:val="22"/>
        </w:rPr>
        <w:t xml:space="preserve">Interactive HTML Report — Visual Structure</w:t>
      </w:r>
    </w:p>
    <w:p>
      <w:pPr>
        <w:spacing w:after="120" w:before="0"/>
        <w:jc w:val="left"/>
      </w:pPr>
      <w:r>
        <w:rPr>
          <w:rFonts w:ascii="Arial" w:cs="Arial" w:eastAsia="Arial" w:hAnsi="Arial"/>
          <w:color w:val="5A6272"/>
          <w:sz w:val="18"/>
          <w:szCs w:val="18"/>
        </w:rPr>
        <w:t xml:space="preserve">The monthly segmentation report is delivered as an interactive HTML file on the 1st of each month. The structure below represents the exact layout developers must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0"/>
        <w:gridCol w:w="3580"/>
      </w:tblGrid>
      <w:tr>
        <w:tc>
          <w:tcPr>
            <w:tcW w:type="dxa" w:w="6500"/>
            <w:tcBorders>
              <w:top w:val="none" w:color="FFFFFF" w:sz="0"/>
              <w:left w:val="none" w:color="FFFFFF" w:sz="0"/>
              <w:bottom w:val="none" w:color="FFFFFF" w:sz="0"/>
              <w:right w:val="none" w:color="FFFFFF" w:sz="0"/>
            </w:tcBorders>
            <w:shd w:fill="1A1D23" w:val="clear"/>
            <w:tcMar>
              <w:top w:type="dxa" w:w="140"/>
              <w:left w:type="dxa" w:w="200"/>
              <w:bottom w:type="dxa" w:w="140"/>
              <w:right w:type="dxa" w:w="120"/>
            </w:tcMar>
            <w:vAlign w:val="top"/>
          </w:tcPr>
          <w:p>
            <w:pPr>
              <w:spacing w:after="40" w:before="0"/>
              <w:jc w:val="left"/>
            </w:pPr>
            <w:r>
              <w:rPr>
                <w:rFonts w:ascii="Arial" w:cs="Arial" w:eastAsia="Arial" w:hAnsi="Arial"/>
                <w:b/>
                <w:bCs/>
                <w:color w:val="FFFFFF"/>
                <w:sz w:val="22"/>
                <w:szCs w:val="22"/>
              </w:rPr>
              <w:t xml:space="preserve">PH ASIN SEGMENTATION REPORT — JULY 2026</w:t>
            </w:r>
          </w:p>
          <w:p>
            <w:pPr>
              <w:spacing w:after="0" w:before="0"/>
              <w:jc w:val="left"/>
            </w:pPr>
            <w:r>
              <w:rPr>
                <w:rFonts w:ascii="Arial" w:cs="Arial" w:eastAsia="Arial" w:hAnsi="Arial"/>
                <w:color w:val="9AA0AD"/>
                <w:sz w:val="15"/>
                <w:szCs w:val="15"/>
              </w:rPr>
              <w:t xml:space="preserve">UK AMAZON FBM · ALL PH OWNERS · 6 SEGMENTS · LEDSone + DCVoltage · CATEGORY-WISE BENCHMARKS</w:t>
            </w:r>
          </w:p>
        </w:tc>
        <w:tc>
          <w:tcPr>
            <w:tcW w:type="dxa" w:w="3580"/>
            <w:tcBorders>
              <w:top w:val="none" w:color="FFFFFF" w:sz="0"/>
              <w:left w:val="none" w:color="FFFFFF" w:sz="0"/>
              <w:bottom w:val="none" w:color="FFFFFF" w:sz="0"/>
              <w:right w:val="none" w:color="FFFFFF" w:sz="0"/>
            </w:tcBorders>
            <w:shd w:fill="1A1D23" w:val="clear"/>
            <w:tcMar>
              <w:top w:type="dxa" w:w="140"/>
              <w:left w:type="dxa" w:w="80"/>
              <w:bottom w:type="dxa" w:w="140"/>
              <w:right w:type="dxa" w:w="200"/>
            </w:tcMar>
            <w:vAlign w:val="center"/>
          </w:tcPr>
          <w:p>
            <w:pPr>
              <w:spacing w:after="30" w:before="0"/>
              <w:jc w:val="right"/>
            </w:pPr>
            <w:r>
              <w:rPr>
                <w:rFonts w:ascii="Arial" w:cs="Arial" w:eastAsia="Arial" w:hAnsi="Arial"/>
                <w:b/>
                <w:bCs/>
                <w:color w:val="FFB300"/>
                <w:sz w:val="17"/>
                <w:szCs w:val="17"/>
              </w:rPr>
              <w:t xml:space="preserve">Generated: 1 July 2026</w:t>
            </w:r>
          </w:p>
          <w:p>
            <w:pPr>
              <w:spacing w:after="0" w:before="0"/>
              <w:jc w:val="right"/>
            </w:pPr>
            <w:r>
              <w:rPr>
                <w:rFonts w:ascii="Arial" w:cs="Arial" w:eastAsia="Arial" w:hAnsi="Arial"/>
                <w:color w:val="9AA0AD"/>
                <w:sz w:val="15"/>
                <w:szCs w:val="15"/>
              </w:rPr>
              <w:t xml:space="preserve">Data window: 1 Jun → 30 Jun 2026 (30 days)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700"/>
        <w:gridCol w:w="1680"/>
        <w:gridCol w:w="1600"/>
      </w:tblGrid>
      <w:tr>
        <w:tc>
          <w:tcPr>
            <w:tcW w:type="dxa" w:w="1700"/>
            <w:tcBorders>
              <w:top w:val="none" w:color="FFFFFF" w:sz="0"/>
              <w:left w:val="none" w:color="FFFFFF" w:sz="0"/>
              <w:bottom w:val="single" w:color="1A8A4A" w:sz="8"/>
              <w:right w:val="none" w:color="FFFFFF" w:sz="0"/>
            </w:tcBorders>
            <w:shd w:fill="E8F7EE" w:val="clear"/>
            <w:tcMar>
              <w:top w:type="dxa" w:w="100"/>
              <w:left w:type="dxa" w:w="100"/>
              <w:bottom w:type="dxa" w:w="100"/>
              <w:right w:type="dxa" w:w="100"/>
            </w:tcMar>
            <w:vAlign w:val="top"/>
          </w:tcPr>
          <w:p>
            <w:pPr>
              <w:spacing w:after="0" w:before="0"/>
              <w:jc w:val="left"/>
            </w:pPr>
            <w:r>
              <w:rPr>
                <w:rFonts w:ascii="Arial" w:cs="Arial" w:eastAsia="Arial" w:hAnsi="Arial"/>
                <w:b/>
                <w:bCs/>
                <w:color w:val="1A8A4A"/>
                <w:sz w:val="17"/>
                <w:szCs w:val="17"/>
              </w:rPr>
              <w:t xml:space="preserve">HHH</w:t>
            </w:r>
            <w:r>
              <w:rPr>
                <w:rFonts w:ascii="Arial" w:cs="Arial" w:eastAsia="Arial" w:hAnsi="Arial"/>
                <w:b/>
                <w:bCs/>
                <w:color w:val="FFFFFF"/>
                <w:sz w:val="14"/>
                <w:szCs w:val="14"/>
              </w:rPr>
              <w:t xml:space="preserve">  34</w:t>
            </w:r>
          </w:p>
        </w:tc>
        <w:tc>
          <w:tcPr>
            <w:tcW w:type="dxa" w:w="1700"/>
            <w:tcBorders>
              <w:top w:val="none" w:color="FFFFFF" w:sz="0"/>
              <w:left w:val="none" w:color="FFFFFF" w:sz="0"/>
              <w:bottom w:val="single" w:color="E0E3E8" w:sz="2"/>
              <w:right w:val="none" w:color="FFFFFF" w:sz="0"/>
            </w:tcBorders>
            <w:shd w:fill="FFFFFF" w:val="clear"/>
            <w:tcMar>
              <w:top w:type="dxa" w:w="100"/>
              <w:left w:type="dxa" w:w="100"/>
              <w:bottom w:type="dxa" w:w="100"/>
              <w:right w:type="dxa" w:w="100"/>
            </w:tcMar>
            <w:vAlign w:val="top"/>
          </w:tcPr>
          <w:p>
            <w:pPr>
              <w:spacing w:after="0" w:before="0"/>
              <w:jc w:val="left"/>
            </w:pPr>
            <w:r>
              <w:rPr>
                <w:rFonts w:ascii="Arial" w:cs="Arial" w:eastAsia="Arial" w:hAnsi="Arial"/>
                <w:b w:val="false"/>
                <w:bCs w:val="false"/>
                <w:color w:val="5A6272"/>
                <w:sz w:val="17"/>
                <w:szCs w:val="17"/>
              </w:rPr>
              <w:t xml:space="preserve">HHL</w:t>
            </w:r>
            <w:r>
              <w:rPr>
                <w:rFonts w:ascii="Arial" w:cs="Arial" w:eastAsia="Arial" w:hAnsi="Arial"/>
                <w:b/>
                <w:bCs/>
                <w:color w:val="FFFFFF"/>
                <w:sz w:val="14"/>
                <w:szCs w:val="14"/>
              </w:rPr>
              <w:t xml:space="preserve">  28</w:t>
            </w:r>
          </w:p>
        </w:tc>
        <w:tc>
          <w:tcPr>
            <w:tcW w:type="dxa" w:w="1700"/>
            <w:tcBorders>
              <w:top w:val="none" w:color="FFFFFF" w:sz="0"/>
              <w:left w:val="none" w:color="FFFFFF" w:sz="0"/>
              <w:bottom w:val="single" w:color="E0E3E8" w:sz="2"/>
              <w:right w:val="none" w:color="FFFFFF" w:sz="0"/>
            </w:tcBorders>
            <w:shd w:fill="FFFFFF" w:val="clear"/>
            <w:tcMar>
              <w:top w:type="dxa" w:w="100"/>
              <w:left w:type="dxa" w:w="100"/>
              <w:bottom w:type="dxa" w:w="100"/>
              <w:right w:type="dxa" w:w="100"/>
            </w:tcMar>
            <w:vAlign w:val="top"/>
          </w:tcPr>
          <w:p>
            <w:pPr>
              <w:spacing w:after="0" w:before="0"/>
              <w:jc w:val="left"/>
            </w:pPr>
            <w:r>
              <w:rPr>
                <w:rFonts w:ascii="Arial" w:cs="Arial" w:eastAsia="Arial" w:hAnsi="Arial"/>
                <w:b w:val="false"/>
                <w:bCs w:val="false"/>
                <w:color w:val="5A6272"/>
                <w:sz w:val="17"/>
                <w:szCs w:val="17"/>
              </w:rPr>
              <w:t xml:space="preserve">HLH</w:t>
            </w:r>
            <w:r>
              <w:rPr>
                <w:rFonts w:ascii="Arial" w:cs="Arial" w:eastAsia="Arial" w:hAnsi="Arial"/>
                <w:b/>
                <w:bCs/>
                <w:color w:val="FFFFFF"/>
                <w:sz w:val="14"/>
                <w:szCs w:val="14"/>
              </w:rPr>
              <w:t xml:space="preserve">  19</w:t>
            </w:r>
          </w:p>
        </w:tc>
        <w:tc>
          <w:tcPr>
            <w:tcW w:type="dxa" w:w="1700"/>
            <w:tcBorders>
              <w:top w:val="none" w:color="FFFFFF" w:sz="0"/>
              <w:left w:val="none" w:color="FFFFFF" w:sz="0"/>
              <w:bottom w:val="single" w:color="E0E3E8" w:sz="2"/>
              <w:right w:val="none" w:color="FFFFFF" w:sz="0"/>
            </w:tcBorders>
            <w:shd w:fill="FFFFFF" w:val="clear"/>
            <w:tcMar>
              <w:top w:type="dxa" w:w="100"/>
              <w:left w:type="dxa" w:w="100"/>
              <w:bottom w:type="dxa" w:w="100"/>
              <w:right w:type="dxa" w:w="100"/>
            </w:tcMar>
            <w:vAlign w:val="top"/>
          </w:tcPr>
          <w:p>
            <w:pPr>
              <w:spacing w:after="0" w:before="0"/>
              <w:jc w:val="left"/>
            </w:pPr>
            <w:r>
              <w:rPr>
                <w:rFonts w:ascii="Arial" w:cs="Arial" w:eastAsia="Arial" w:hAnsi="Arial"/>
                <w:b w:val="false"/>
                <w:bCs w:val="false"/>
                <w:color w:val="5A6272"/>
                <w:sz w:val="17"/>
                <w:szCs w:val="17"/>
              </w:rPr>
              <w:t xml:space="preserve">LHH</w:t>
            </w:r>
            <w:r>
              <w:rPr>
                <w:rFonts w:ascii="Arial" w:cs="Arial" w:eastAsia="Arial" w:hAnsi="Arial"/>
                <w:b/>
                <w:bCs/>
                <w:color w:val="FFFFFF"/>
                <w:sz w:val="14"/>
                <w:szCs w:val="14"/>
              </w:rPr>
              <w:t xml:space="preserve">  22</w:t>
            </w:r>
          </w:p>
        </w:tc>
        <w:tc>
          <w:tcPr>
            <w:tcW w:type="dxa" w:w="1680"/>
            <w:tcBorders>
              <w:top w:val="none" w:color="FFFFFF" w:sz="0"/>
              <w:left w:val="none" w:color="FFFFFF" w:sz="0"/>
              <w:bottom w:val="single" w:color="E0E3E8" w:sz="2"/>
              <w:right w:val="none" w:color="FFFFFF" w:sz="0"/>
            </w:tcBorders>
            <w:shd w:fill="FFFFFF" w:val="clear"/>
            <w:tcMar>
              <w:top w:type="dxa" w:w="100"/>
              <w:left w:type="dxa" w:w="100"/>
              <w:bottom w:type="dxa" w:w="100"/>
              <w:right w:type="dxa" w:w="100"/>
            </w:tcMar>
            <w:vAlign w:val="top"/>
          </w:tcPr>
          <w:p>
            <w:pPr>
              <w:spacing w:after="0" w:before="0"/>
              <w:jc w:val="left"/>
            </w:pPr>
            <w:r>
              <w:rPr>
                <w:rFonts w:ascii="Arial" w:cs="Arial" w:eastAsia="Arial" w:hAnsi="Arial"/>
                <w:b w:val="false"/>
                <w:bCs w:val="false"/>
                <w:color w:val="5A6272"/>
                <w:sz w:val="17"/>
                <w:szCs w:val="17"/>
              </w:rPr>
              <w:t xml:space="preserve">LLL</w:t>
            </w:r>
            <w:r>
              <w:rPr>
                <w:rFonts w:ascii="Arial" w:cs="Arial" w:eastAsia="Arial" w:hAnsi="Arial"/>
                <w:b/>
                <w:bCs/>
                <w:color w:val="FFFFFF"/>
                <w:sz w:val="14"/>
                <w:szCs w:val="14"/>
              </w:rPr>
              <w:t xml:space="preserve">  41</w:t>
            </w:r>
          </w:p>
        </w:tc>
        <w:tc>
          <w:tcPr>
            <w:tcW w:type="dxa" w:w="1600"/>
            <w:tcBorders>
              <w:top w:val="none" w:color="FFFFFF" w:sz="0"/>
              <w:left w:val="none" w:color="FFFFFF" w:sz="0"/>
              <w:bottom w:val="single" w:color="E0E3E8" w:sz="2"/>
              <w:right w:val="none" w:color="FFFFFF" w:sz="0"/>
            </w:tcBorders>
            <w:shd w:fill="FFFFFF" w:val="clear"/>
            <w:tcMar>
              <w:top w:type="dxa" w:w="100"/>
              <w:left w:type="dxa" w:w="100"/>
              <w:bottom w:type="dxa" w:w="100"/>
              <w:right w:type="dxa" w:w="100"/>
            </w:tcMar>
            <w:vAlign w:val="top"/>
          </w:tcPr>
          <w:p>
            <w:pPr>
              <w:spacing w:after="0" w:before="0"/>
              <w:jc w:val="left"/>
            </w:pPr>
            <w:r>
              <w:rPr>
                <w:rFonts w:ascii="Arial" w:cs="Arial" w:eastAsia="Arial" w:hAnsi="Arial"/>
                <w:b w:val="false"/>
                <w:bCs w:val="false"/>
                <w:color w:val="5A6272"/>
                <w:sz w:val="17"/>
                <w:szCs w:val="17"/>
              </w:rPr>
              <w:t xml:space="preserve">LLH</w:t>
            </w:r>
            <w:r>
              <w:rPr>
                <w:rFonts w:ascii="Arial" w:cs="Arial" w:eastAsia="Arial" w:hAnsi="Arial"/>
                <w:b/>
                <w:bCs/>
                <w:color w:val="FFFFFF"/>
                <w:sz w:val="14"/>
                <w:szCs w:val="14"/>
              </w:rPr>
              <w:t xml:space="preserve">  16</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60"/>
        <w:gridCol w:w="8320"/>
      </w:tblGrid>
      <w:tr>
        <w:tc>
          <w:tcPr>
            <w:tcW w:type="dxa" w:w="1760"/>
            <w:tcBorders>
              <w:top w:val="none" w:color="FFFFFF" w:sz="0"/>
              <w:left w:val="none" w:color="FFFFFF" w:sz="0"/>
              <w:bottom w:val="none" w:color="FFFFFF" w:sz="0"/>
              <w:right w:val="single" w:color="E0E3E8" w:sz="4"/>
            </w:tcBorders>
            <w:shd w:fill="F0F2F5" w:val="clear"/>
            <w:tcMar>
              <w:top w:type="dxa" w:w="120"/>
              <w:left w:type="dxa" w:w="100"/>
              <w:bottom w:type="dxa" w:w="120"/>
              <w:right w:type="dxa" w:w="100"/>
            </w:tcMar>
            <w:vAlign w:val="top"/>
          </w:tcPr>
          <w:p>
            <w:pPr>
              <w:spacing w:after="60" w:before="0"/>
              <w:jc w:val="left"/>
            </w:pPr>
            <w:r>
              <w:rPr>
                <w:rFonts w:ascii="Arial" w:cs="Arial" w:eastAsia="Arial" w:hAnsi="Arial"/>
                <w:b/>
                <w:bCs/>
                <w:color w:val="5A6272"/>
                <w:sz w:val="15"/>
                <w:szCs w:val="15"/>
              </w:rPr>
              <w:t xml:space="preserve">EMPLOYEES</w:t>
            </w:r>
          </w:p>
          <w:p>
            <w:pPr>
              <w:spacing w:after="36" w:before="0"/>
              <w:jc w:val="left"/>
            </w:pPr>
            <w:r>
              <w:rPr>
                <w:rFonts w:ascii="Arial" w:cs="Arial" w:eastAsia="Arial" w:hAnsi="Arial"/>
                <w:b/>
                <w:bCs/>
                <w:color w:val="1A8A4A"/>
                <w:sz w:val="15"/>
                <w:szCs w:val="15"/>
              </w:rPr>
              <w:t xml:space="preserve">● All PHs</w:t>
            </w:r>
          </w:p>
          <w:p>
            <w:pPr>
              <w:spacing w:after="36" w:before="0"/>
              <w:jc w:val="left"/>
            </w:pPr>
            <w:r>
              <w:rPr>
                <w:rFonts w:ascii="Arial" w:cs="Arial" w:eastAsia="Arial" w:hAnsi="Arial"/>
                <w:b w:val="false"/>
                <w:bCs w:val="false"/>
                <w:color w:val="5A6272"/>
                <w:sz w:val="15"/>
                <w:szCs w:val="15"/>
              </w:rPr>
              <w:t xml:space="preserve">Abinayaa</w:t>
            </w:r>
          </w:p>
          <w:p>
            <w:pPr>
              <w:spacing w:after="36" w:before="0"/>
              <w:jc w:val="left"/>
            </w:pPr>
            <w:r>
              <w:rPr>
                <w:rFonts w:ascii="Arial" w:cs="Arial" w:eastAsia="Arial" w:hAnsi="Arial"/>
                <w:b w:val="false"/>
                <w:bCs w:val="false"/>
                <w:color w:val="5A6272"/>
                <w:sz w:val="15"/>
                <w:szCs w:val="15"/>
              </w:rPr>
              <w:t xml:space="preserve">Arudchelvi</w:t>
            </w:r>
          </w:p>
          <w:p>
            <w:pPr>
              <w:spacing w:after="36" w:before="0"/>
              <w:jc w:val="left"/>
            </w:pPr>
            <w:r>
              <w:rPr>
                <w:rFonts w:ascii="Arial" w:cs="Arial" w:eastAsia="Arial" w:hAnsi="Arial"/>
                <w:b w:val="false"/>
                <w:bCs w:val="false"/>
                <w:color w:val="5A6272"/>
                <w:sz w:val="15"/>
                <w:szCs w:val="15"/>
              </w:rPr>
              <w:t xml:space="preserve">Dilani</w:t>
            </w:r>
          </w:p>
          <w:p>
            <w:pPr>
              <w:spacing w:after="36" w:before="0"/>
              <w:jc w:val="left"/>
            </w:pPr>
            <w:r>
              <w:rPr>
                <w:rFonts w:ascii="Arial" w:cs="Arial" w:eastAsia="Arial" w:hAnsi="Arial"/>
                <w:b w:val="false"/>
                <w:bCs w:val="false"/>
                <w:color w:val="5A6272"/>
                <w:sz w:val="15"/>
                <w:szCs w:val="15"/>
              </w:rPr>
              <w:t xml:space="preserve">Illakkiya</w:t>
            </w:r>
          </w:p>
          <w:p>
            <w:pPr>
              <w:spacing w:after="36" w:before="0"/>
              <w:jc w:val="left"/>
            </w:pPr>
            <w:r>
              <w:rPr>
                <w:rFonts w:ascii="Arial" w:cs="Arial" w:eastAsia="Arial" w:hAnsi="Arial"/>
                <w:b w:val="false"/>
                <w:bCs w:val="false"/>
                <w:color w:val="5A6272"/>
                <w:sz w:val="15"/>
                <w:szCs w:val="15"/>
              </w:rPr>
              <w:t xml:space="preserve">Jasmini</w:t>
            </w:r>
          </w:p>
          <w:p>
            <w:pPr>
              <w:spacing w:after="36" w:before="0"/>
              <w:jc w:val="left"/>
            </w:pPr>
            <w:r>
              <w:rPr>
                <w:rFonts w:ascii="Arial" w:cs="Arial" w:eastAsia="Arial" w:hAnsi="Arial"/>
                <w:b w:val="false"/>
                <w:bCs w:val="false"/>
                <w:color w:val="5A6272"/>
                <w:sz w:val="15"/>
                <w:szCs w:val="15"/>
              </w:rPr>
              <w:t xml:space="preserve">Jubista</w:t>
            </w:r>
          </w:p>
          <w:p>
            <w:pPr>
              <w:spacing w:after="36" w:before="0"/>
              <w:jc w:val="left"/>
            </w:pPr>
            <w:r>
              <w:rPr>
                <w:rFonts w:ascii="Arial" w:cs="Arial" w:eastAsia="Arial" w:hAnsi="Arial"/>
                <w:b w:val="false"/>
                <w:bCs w:val="false"/>
                <w:color w:val="5A6272"/>
                <w:sz w:val="15"/>
                <w:szCs w:val="15"/>
              </w:rPr>
              <w:t xml:space="preserve">kobitharsan</w:t>
            </w:r>
          </w:p>
          <w:p>
            <w:pPr>
              <w:spacing w:after="36" w:before="0"/>
              <w:jc w:val="left"/>
            </w:pPr>
            <w:r>
              <w:rPr>
                <w:rFonts w:ascii="Arial" w:cs="Arial" w:eastAsia="Arial" w:hAnsi="Arial"/>
                <w:b w:val="false"/>
                <w:bCs w:val="false"/>
                <w:color w:val="5A6272"/>
                <w:sz w:val="15"/>
                <w:szCs w:val="15"/>
              </w:rPr>
              <w:t xml:space="preserve">mothajini</w:t>
            </w:r>
          </w:p>
          <w:p>
            <w:pPr>
              <w:spacing w:after="36" w:before="0"/>
              <w:jc w:val="left"/>
            </w:pPr>
            <w:r>
              <w:rPr>
                <w:rFonts w:ascii="Arial" w:cs="Arial" w:eastAsia="Arial" w:hAnsi="Arial"/>
                <w:b w:val="false"/>
                <w:bCs w:val="false"/>
                <w:color w:val="5A6272"/>
                <w:sz w:val="15"/>
                <w:szCs w:val="15"/>
              </w:rPr>
              <w:t xml:space="preserve">Nithushana</w:t>
            </w:r>
          </w:p>
          <w:p>
            <w:pPr>
              <w:spacing w:after="36" w:before="0"/>
              <w:jc w:val="left"/>
            </w:pPr>
            <w:r>
              <w:rPr>
                <w:rFonts w:ascii="Arial" w:cs="Arial" w:eastAsia="Arial" w:hAnsi="Arial"/>
                <w:b w:val="false"/>
                <w:bCs w:val="false"/>
                <w:color w:val="5A6272"/>
                <w:sz w:val="15"/>
                <w:szCs w:val="15"/>
              </w:rPr>
              <w:t xml:space="preserve">paulr</w:t>
            </w:r>
          </w:p>
          <w:p>
            <w:pPr>
              <w:spacing w:after="36" w:before="0"/>
              <w:jc w:val="left"/>
            </w:pPr>
            <w:r>
              <w:rPr>
                <w:rFonts w:ascii="Arial" w:cs="Arial" w:eastAsia="Arial" w:hAnsi="Arial"/>
                <w:b w:val="false"/>
                <w:bCs w:val="false"/>
                <w:color w:val="5A6272"/>
                <w:sz w:val="15"/>
                <w:szCs w:val="15"/>
              </w:rPr>
              <w:t xml:space="preserve">Poovitha</w:t>
            </w:r>
          </w:p>
          <w:p>
            <w:pPr>
              <w:spacing w:after="36" w:before="0"/>
              <w:jc w:val="left"/>
            </w:pPr>
            <w:r>
              <w:rPr>
                <w:rFonts w:ascii="Arial" w:cs="Arial" w:eastAsia="Arial" w:hAnsi="Arial"/>
                <w:b w:val="false"/>
                <w:bCs w:val="false"/>
                <w:color w:val="5A6272"/>
                <w:sz w:val="15"/>
                <w:szCs w:val="15"/>
              </w:rPr>
              <w:t xml:space="preserve">prasath</w:t>
            </w:r>
          </w:p>
          <w:p>
            <w:pPr>
              <w:spacing w:after="36" w:before="0"/>
              <w:jc w:val="left"/>
            </w:pPr>
            <w:r>
              <w:rPr>
                <w:rFonts w:ascii="Arial" w:cs="Arial" w:eastAsia="Arial" w:hAnsi="Arial"/>
                <w:b w:val="false"/>
                <w:bCs w:val="false"/>
                <w:color w:val="5A6272"/>
                <w:sz w:val="15"/>
                <w:szCs w:val="15"/>
              </w:rPr>
              <w:t xml:space="preserve">preethi</w:t>
            </w:r>
          </w:p>
          <w:p>
            <w:pPr>
              <w:spacing w:after="36" w:before="0"/>
              <w:jc w:val="left"/>
            </w:pPr>
            <w:r>
              <w:rPr>
                <w:rFonts w:ascii="Arial" w:cs="Arial" w:eastAsia="Arial" w:hAnsi="Arial"/>
                <w:b w:val="false"/>
                <w:bCs w:val="false"/>
                <w:color w:val="5A6272"/>
                <w:sz w:val="15"/>
                <w:szCs w:val="15"/>
              </w:rPr>
              <w:t xml:space="preserve">Renuha</w:t>
            </w:r>
          </w:p>
          <w:p>
            <w:pPr>
              <w:spacing w:after="36" w:before="0"/>
              <w:jc w:val="left"/>
            </w:pPr>
            <w:r>
              <w:rPr>
                <w:rFonts w:ascii="Arial" w:cs="Arial" w:eastAsia="Arial" w:hAnsi="Arial"/>
                <w:b w:val="false"/>
                <w:bCs w:val="false"/>
                <w:color w:val="5A6272"/>
                <w:sz w:val="15"/>
                <w:szCs w:val="15"/>
              </w:rPr>
              <w:t xml:space="preserve">saranjan</w:t>
            </w:r>
          </w:p>
          <w:p>
            <w:pPr>
              <w:spacing w:after="36" w:before="0"/>
              <w:jc w:val="left"/>
            </w:pPr>
            <w:r>
              <w:rPr>
                <w:rFonts w:ascii="Arial" w:cs="Arial" w:eastAsia="Arial" w:hAnsi="Arial"/>
                <w:b w:val="false"/>
                <w:bCs w:val="false"/>
                <w:color w:val="5A6272"/>
                <w:sz w:val="15"/>
                <w:szCs w:val="15"/>
              </w:rPr>
              <w:t xml:space="preserve">Saranya</w:t>
            </w:r>
          </w:p>
          <w:p>
            <w:pPr>
              <w:spacing w:after="36" w:before="0"/>
              <w:jc w:val="left"/>
            </w:pPr>
            <w:r>
              <w:rPr>
                <w:rFonts w:ascii="Arial" w:cs="Arial" w:eastAsia="Arial" w:hAnsi="Arial"/>
                <w:b w:val="false"/>
                <w:bCs w:val="false"/>
                <w:color w:val="5A6272"/>
                <w:sz w:val="15"/>
                <w:szCs w:val="15"/>
              </w:rPr>
              <w:t xml:space="preserve">shimee</w:t>
            </w:r>
          </w:p>
          <w:p>
            <w:pPr>
              <w:spacing w:after="36" w:before="0"/>
              <w:jc w:val="left"/>
            </w:pPr>
            <w:r>
              <w:rPr>
                <w:rFonts w:ascii="Arial" w:cs="Arial" w:eastAsia="Arial" w:hAnsi="Arial"/>
                <w:b w:val="false"/>
                <w:bCs w:val="false"/>
                <w:color w:val="5A6272"/>
                <w:sz w:val="15"/>
                <w:szCs w:val="15"/>
              </w:rPr>
              <w:t xml:space="preserve">Shanthini</w:t>
            </w:r>
          </w:p>
          <w:p>
            <w:pPr>
              <w:spacing w:after="36" w:before="0"/>
              <w:jc w:val="left"/>
            </w:pPr>
            <w:r>
              <w:rPr>
                <w:rFonts w:ascii="Arial" w:cs="Arial" w:eastAsia="Arial" w:hAnsi="Arial"/>
                <w:b w:val="false"/>
                <w:bCs w:val="false"/>
                <w:color w:val="5A6272"/>
                <w:sz w:val="15"/>
                <w:szCs w:val="15"/>
              </w:rPr>
              <w:t xml:space="preserve">thanucha</w:t>
            </w:r>
          </w:p>
          <w:p>
            <w:pPr>
              <w:spacing w:after="36" w:before="0"/>
              <w:jc w:val="left"/>
            </w:pPr>
            <w:r>
              <w:rPr>
                <w:rFonts w:ascii="Arial" w:cs="Arial" w:eastAsia="Arial" w:hAnsi="Arial"/>
                <w:b w:val="false"/>
                <w:bCs w:val="false"/>
                <w:color w:val="5A6272"/>
                <w:sz w:val="15"/>
                <w:szCs w:val="15"/>
              </w:rPr>
              <w:t xml:space="preserve">Tharshana</w:t>
            </w:r>
          </w:p>
          <w:p>
            <w:pPr>
              <w:spacing w:after="36" w:before="0"/>
              <w:jc w:val="left"/>
            </w:pPr>
            <w:r>
              <w:rPr>
                <w:rFonts w:ascii="Arial" w:cs="Arial" w:eastAsia="Arial" w:hAnsi="Arial"/>
                <w:b w:val="false"/>
                <w:bCs w:val="false"/>
                <w:color w:val="5A6272"/>
                <w:sz w:val="15"/>
                <w:szCs w:val="15"/>
              </w:rPr>
              <w:t xml:space="preserve">Tharsiga(nelli)</w:t>
            </w:r>
          </w:p>
          <w:p>
            <w:pPr>
              <w:spacing w:after="36" w:before="0"/>
              <w:jc w:val="left"/>
            </w:pPr>
            <w:r>
              <w:rPr>
                <w:rFonts w:ascii="Arial" w:cs="Arial" w:eastAsia="Arial" w:hAnsi="Arial"/>
                <w:b w:val="false"/>
                <w:bCs w:val="false"/>
                <w:color w:val="5A6272"/>
                <w:sz w:val="15"/>
                <w:szCs w:val="15"/>
              </w:rPr>
              <w:t xml:space="preserve">Tharsika(jaffna)</w:t>
            </w:r>
          </w:p>
          <w:p>
            <w:pPr>
              <w:spacing w:after="36" w:before="0"/>
              <w:jc w:val="left"/>
            </w:pPr>
            <w:r>
              <w:rPr>
                <w:rFonts w:ascii="Arial" w:cs="Arial" w:eastAsia="Arial" w:hAnsi="Arial"/>
                <w:b w:val="false"/>
                <w:bCs w:val="false"/>
                <w:color w:val="5A6272"/>
                <w:sz w:val="15"/>
                <w:szCs w:val="15"/>
              </w:rPr>
              <w:t xml:space="preserve">Theepana</w:t>
            </w:r>
          </w:p>
          <w:p>
            <w:pPr>
              <w:spacing w:after="36" w:before="0"/>
              <w:jc w:val="left"/>
            </w:pPr>
            <w:r>
              <w:rPr>
                <w:rFonts w:ascii="Arial" w:cs="Arial" w:eastAsia="Arial" w:hAnsi="Arial"/>
                <w:b w:val="false"/>
                <w:bCs w:val="false"/>
                <w:color w:val="5A6272"/>
                <w:sz w:val="15"/>
                <w:szCs w:val="15"/>
              </w:rPr>
              <w:t xml:space="preserve">Thojika</w:t>
            </w:r>
          </w:p>
          <w:p>
            <w:pPr>
              <w:spacing w:after="36" w:before="0"/>
              <w:jc w:val="left"/>
            </w:pPr>
            <w:r>
              <w:rPr>
                <w:rFonts w:ascii="Arial" w:cs="Arial" w:eastAsia="Arial" w:hAnsi="Arial"/>
                <w:b w:val="false"/>
                <w:bCs w:val="false"/>
                <w:color w:val="5A6272"/>
                <w:sz w:val="15"/>
                <w:szCs w:val="15"/>
              </w:rPr>
              <w:t xml:space="preserve">thuwaraga</w:t>
            </w:r>
          </w:p>
          <w:p>
            <w:pPr>
              <w:spacing w:after="36" w:before="0"/>
              <w:jc w:val="left"/>
            </w:pPr>
            <w:r>
              <w:rPr>
                <w:rFonts w:ascii="Arial" w:cs="Arial" w:eastAsia="Arial" w:hAnsi="Arial"/>
                <w:b w:val="false"/>
                <w:bCs w:val="false"/>
                <w:color w:val="5A6272"/>
                <w:sz w:val="15"/>
                <w:szCs w:val="15"/>
              </w:rPr>
              <w:t xml:space="preserve">utharsika</w:t>
            </w:r>
          </w:p>
        </w:tc>
        <w:tc>
          <w:tcPr>
            <w:tcW w:type="dxa" w:w="8320"/>
            <w:tcBorders>
              <w:top w:val="none" w:color="FFFFFF" w:sz="0"/>
              <w:left w:val="none" w:color="FFFFFF" w:sz="0"/>
              <w:bottom w:val="none" w:color="FFFFFF" w:sz="0"/>
              <w:right w:val="none" w:color="FFFFFF" w:sz="0"/>
            </w:tcBorders>
            <w:shd w:fill="F4F5F7" w:val="clear"/>
            <w:tcMar>
              <w:top w:type="dxa" w:w="120"/>
              <w:left w:type="dxa" w:w="140"/>
              <w:bottom w:type="dxa" w:w="120"/>
              <w:right w:type="dxa" w:w="120"/>
            </w:tcMar>
            <w:vAlign w:val="top"/>
          </w:tcPr>
          <w:p>
            <w:pPr>
              <w:spacing w:after="60" w:before="0"/>
              <w:jc w:val="right"/>
            </w:pPr>
            <w:r>
              <w:rPr>
                <w:rFonts w:ascii="Arial" w:cs="Arial" w:eastAsia="Arial" w:hAnsi="Arial"/>
                <w:i/>
                <w:iCs/>
                <w:color w:val="5A6272"/>
                <w:sz w:val="15"/>
                <w:szCs w:val="15"/>
              </w:rPr>
              <w:t xml:space="preserve">0 of 34 ASINs actioned</w:t>
            </w:r>
          </w:p>
          <w:tbl>
            <w:tblPr>
              <w:tblW w:type="dxa" w:w="7680"/>
              <w:tblBorders>
                <w:top w:val="single" w:color="auto" w:sz="4"/>
                <w:left w:val="single" w:color="auto" w:sz="4"/>
                <w:bottom w:val="single" w:color="auto" w:sz="4"/>
                <w:right w:val="single" w:color="auto" w:sz="4"/>
                <w:insideH w:val="single" w:color="auto" w:sz="4"/>
                <w:insideV w:val="single" w:color="auto" w:sz="4"/>
              </w:tblBorders>
            </w:tblPr>
            <w:tblGrid>
              <w:gridCol w:w="4800"/>
              <w:gridCol w:w="2880"/>
            </w:tblGrid>
            <w:tr>
              <w:tc>
                <w:tcPr>
                  <w:tcW w:type="dxa" w:w="4800"/>
                  <w:tcBorders>
                    <w:top w:val="single" w:color="E0E3E8" w:sz="2"/>
                    <w:left w:val="single" w:color="1A8A4A" w:sz="12"/>
                    <w:bottom w:val="single" w:color="E0E3E8" w:sz="2"/>
                    <w:right w:val="none" w:color="FFFFFF" w:sz="0"/>
                  </w:tcBorders>
                  <w:shd w:fill="FAFBFC" w:val="clear"/>
                  <w:tcMar>
                    <w:top w:type="dxa" w:w="80"/>
                    <w:left w:type="dxa" w:w="160"/>
                    <w:bottom w:type="dxa" w:w="80"/>
                    <w:right w:type="dxa" w:w="120"/>
                  </w:tcMar>
                  <w:vAlign w:val="top"/>
                </w:tcPr>
                <w:p>
                  <w:pPr>
                    <w:spacing w:after="30" w:before="0"/>
                    <w:jc w:val="left"/>
                  </w:pPr>
                  <w:r>
                    <w:rPr>
                      <w:rFonts w:ascii="Arial" w:cs="Arial" w:eastAsia="Arial" w:hAnsi="Arial"/>
                      <w:b/>
                      <w:bCs/>
                      <w:color w:val="1A1D23"/>
                      <w:sz w:val="20"/>
                      <w:szCs w:val="20"/>
                    </w:rPr>
                    <w:t xml:space="preserve">UTHARSIKA</w:t>
                  </w:r>
                </w:p>
                <w:p>
                  <w:pPr>
                    <w:spacing w:after="0" w:before="0"/>
                    <w:jc w:val="left"/>
                  </w:pPr>
                  <w:r>
                    <w:rPr>
                      <w:rFonts w:ascii="Arial" w:cs="Arial" w:eastAsia="Arial" w:hAnsi="Arial"/>
                      <w:color w:val="5A6272"/>
                      <w:sz w:val="15"/>
                      <w:szCs w:val="15"/>
                    </w:rPr>
                    <w:t xml:space="preserve">Segments: HHH · HHL · LLL  |  34 ASINs in HHH this period</w:t>
                  </w:r>
                </w:p>
              </w:tc>
              <w:tc>
                <w:tcPr>
                  <w:tcW w:type="dxa" w:w="2880"/>
                  <w:tcBorders>
                    <w:top w:val="single" w:color="E0E3E8" w:sz="2"/>
                    <w:left w:val="none" w:color="FFFFFF" w:sz="0"/>
                    <w:bottom w:val="single" w:color="E0E3E8" w:sz="2"/>
                    <w:right w:val="none" w:color="FFFFFF" w:sz="0"/>
                  </w:tcBorders>
                  <w:shd w:fill="FAFBFC" w:val="clear"/>
                  <w:tcMar>
                    <w:top w:type="dxa" w:w="80"/>
                    <w:left w:type="dxa" w:w="80"/>
                    <w:bottom w:type="dxa" w:w="80"/>
                    <w:right w:type="dxa" w:w="160"/>
                  </w:tcMar>
                  <w:vAlign w:val="top"/>
                </w:tcPr>
                <w:p>
                  <w:pPr>
                    <w:spacing w:after="30" w:before="0"/>
                    <w:jc w:val="right"/>
                  </w:pPr>
                  <w:r>
                    <w:rPr>
                      <w:rFonts w:ascii="Arial" w:cs="Arial" w:eastAsia="Arial" w:hAnsi="Arial"/>
                      <w:color w:val="5A6272"/>
                      <w:sz w:val="15"/>
                      <w:szCs w:val="15"/>
                    </w:rPr>
                    <w:t xml:space="preserve">Progress: 6 / 34 actioned</w:t>
                  </w:r>
                </w:p>
                <w:p>
                  <w:pPr>
                    <w:spacing w:after="0" w:before="0"/>
                    <w:jc w:val="right"/>
                  </w:pPr>
                  <w:r>
                    <w:rPr>
                      <w:rFonts w:ascii="Arial" w:cs="Arial" w:eastAsia="Arial" w:hAnsi="Arial"/>
                      <w:color w:val="1A8A4A"/>
                      <w:sz w:val="14"/>
                      <w:szCs w:val="14"/>
                    </w:rPr>
                    <w:t xml:space="preserve">████░░░░░░  18%</w:t>
                  </w:r>
                </w:p>
              </w:tc>
            </w:tr>
          </w:tbl>
          <w:p>
            <w:pPr>
              <w:spacing w:after="40" w:before="0"/>
              <w:jc w:val="left"/>
            </w:pPr>
            <w:r>
              <w:rPr>
                <w:rFonts w:ascii="Arial" w:cs="Arial" w:eastAsia="Arial" w:hAnsi="Arial"/>
                <w:sz w:val="20"/>
                <w:szCs w:val="20"/>
              </w:rPr>
              <w:t xml:space="preserve"/>
            </w:r>
          </w:p>
          <w:tbl>
            <w:tblPr>
              <w:tblW w:type="dxa" w:w="7680"/>
              <w:tblBorders>
                <w:top w:val="single" w:color="auto" w:sz="4"/>
                <w:left w:val="single" w:color="auto" w:sz="4"/>
                <w:bottom w:val="single" w:color="auto" w:sz="4"/>
                <w:right w:val="single" w:color="auto" w:sz="4"/>
                <w:insideH w:val="single" w:color="auto" w:sz="4"/>
                <w:insideV w:val="single" w:color="auto" w:sz="4"/>
              </w:tblBorders>
            </w:tblPr>
            <w:tblGrid>
              <w:gridCol w:w="7680"/>
            </w:tblGrid>
            <w:tr>
              <w:tc>
                <w:tcPr>
                  <w:tcW w:type="dxa" w:w="7680"/>
                  <w:tcBorders>
                    <w:top w:val="single" w:color="E0E3E8" w:sz="2"/>
                    <w:left w:val="single" w:color="E0E3E8" w:sz="2"/>
                    <w:bottom w:val="single" w:color="E0E3E8" w:sz="2"/>
                    <w:right w:val="single" w:color="E0E3E8" w:sz="2"/>
                  </w:tcBorders>
                  <w:shd w:fill="F4F5F7" w:val="clear"/>
                  <w:tcMar>
                    <w:top w:type="dxa" w:w="100"/>
                    <w:left w:type="dxa" w:w="140"/>
                    <w:bottom w:type="dxa" w:w="100"/>
                    <w:right w:type="dxa" w:w="140"/>
                  </w:tcMar>
                  <w:vAlign w:val="top"/>
                </w:tcPr>
                <w:p>
                  <w:pPr>
                    <w:spacing w:after="50" w:before="0"/>
                    <w:jc w:val="left"/>
                  </w:pPr>
                  <w:r>
                    <w:rPr>
                      <w:rFonts w:ascii="Arial" w:cs="Arial" w:eastAsia="Arial" w:hAnsi="Arial"/>
                      <w:b/>
                      <w:bCs/>
                      <w:color w:val="1A1D23"/>
                      <w:sz w:val="16"/>
                      <w:szCs w:val="16"/>
                    </w:rPr>
                    <w:t xml:space="preserve">CONFIGURATOR — UTHARSIKA</w:t>
                  </w:r>
                </w:p>
                <w:p>
                  <w:pPr>
                    <w:spacing w:after="40" w:before="0"/>
                    <w:jc w:val="left"/>
                  </w:pPr>
                  <w:r>
                    <w:rPr>
                      <w:rFonts w:ascii="Arial" w:cs="Arial" w:eastAsia="Arial" w:hAnsi="Arial"/>
                      <w:color w:val="5A6272"/>
                      <w:sz w:val="15"/>
                      <w:szCs w:val="15"/>
                    </w:rPr>
                    <w:t xml:space="preserve">Category: Shades (LS*)  |  Benchmark source: Top 30 sold ASINs in last 30 days</w:t>
                  </w:r>
                </w:p>
                <w:p>
                  <w:pPr>
                    <w:spacing w:after="0" w:before="0"/>
                    <w:jc w:val="left"/>
                  </w:pPr>
                  <w:r>
                    <w:rPr>
                      <w:rFonts w:ascii="Arial" w:cs="Arial" w:eastAsia="Arial" w:hAnsi="Arial"/>
                      <w:b/>
                      <w:bCs/>
                      <w:color w:val="1A1D23"/>
                      <w:sz w:val="15"/>
                      <w:szCs w:val="15"/>
                    </w:rPr>
                    <w:t xml:space="preserve">Avg Impression: 9,200  </w:t>
                  </w:r>
                  <w:r>
                    <w:rPr>
                      <w:rFonts w:ascii="Arial" w:cs="Arial" w:eastAsia="Arial" w:hAnsi="Arial"/>
                      <w:color w:val="5A6272"/>
                      <w:sz w:val="14"/>
                      <w:szCs w:val="14"/>
                    </w:rPr>
                    <w:t xml:space="preserve">(HIGH = above 9,200  |  LOW = below 9,200)   </w:t>
                  </w:r>
                  <w:r>
                    <w:rPr>
                      <w:rFonts w:ascii="Arial" w:cs="Arial" w:eastAsia="Arial" w:hAnsi="Arial"/>
                      <w:b/>
                      <w:bCs/>
                      <w:color w:val="1A1D23"/>
                      <w:sz w:val="15"/>
                      <w:szCs w:val="15"/>
                    </w:rPr>
                    <w:t xml:space="preserve">Avg Clicks: 310  </w:t>
                  </w:r>
                  <w:r>
                    <w:rPr>
                      <w:rFonts w:ascii="Arial" w:cs="Arial" w:eastAsia="Arial" w:hAnsi="Arial"/>
                      <w:color w:val="5A6272"/>
                      <w:sz w:val="14"/>
                      <w:szCs w:val="14"/>
                    </w:rPr>
                    <w:t xml:space="preserve">(HIGH = above 310  |  LOW = below 310)   </w:t>
                  </w:r>
                  <w:r>
                    <w:rPr>
                      <w:rFonts w:ascii="Arial" w:cs="Arial" w:eastAsia="Arial" w:hAnsi="Arial"/>
                      <w:b/>
                      <w:bCs/>
                      <w:color w:val="1A1D23"/>
                      <w:sz w:val="15"/>
                      <w:szCs w:val="15"/>
                    </w:rPr>
                    <w:t xml:space="preserve">Avg CVR: 5.2%  </w:t>
                  </w:r>
                  <w:r>
                    <w:rPr>
                      <w:rFonts w:ascii="Arial" w:cs="Arial" w:eastAsia="Arial" w:hAnsi="Arial"/>
                      <w:color w:val="5A6272"/>
                      <w:sz w:val="14"/>
                      <w:szCs w:val="14"/>
                    </w:rPr>
                    <w:t xml:space="preserve">(HIGH = above 5.2%  |  LOW = below 5.2%)</w:t>
                  </w:r>
                </w:p>
              </w:tc>
            </w:tr>
          </w:tbl>
          <w:p>
            <w:pPr>
              <w:spacing w:after="60" w:before="0"/>
              <w:jc w:val="left"/>
            </w:pPr>
            <w:r>
              <w:rPr>
                <w:rFonts w:ascii="Arial" w:cs="Arial" w:eastAsia="Arial" w:hAnsi="Arial"/>
                <w:sz w:val="20"/>
                <w:szCs w:val="20"/>
              </w:rPr>
              <w:t xml:space="preserve"/>
            </w:r>
          </w:p>
          <w:tbl>
            <w:tblPr>
              <w:tblW w:type="dxa" w:w="7680"/>
              <w:tblBorders>
                <w:top w:val="single" w:color="auto" w:sz="4"/>
                <w:left w:val="single" w:color="auto" w:sz="4"/>
                <w:bottom w:val="single" w:color="auto" w:sz="4"/>
                <w:right w:val="single" w:color="auto" w:sz="4"/>
                <w:insideH w:val="single" w:color="auto" w:sz="4"/>
                <w:insideV w:val="single" w:color="auto" w:sz="4"/>
              </w:tblBorders>
            </w:tblPr>
            <w:tblGrid>
              <w:gridCol w:w="5800"/>
              <w:gridCol w:w="1640"/>
              <w:gridCol w:w="240"/>
            </w:tblGrid>
            <w:tr>
              <w:tc>
                <w:tcPr>
                  <w:tcW w:type="dxa" w:w="5800"/>
                  <w:tcBorders>
                    <w:top w:val="single" w:color="E0E3E8" w:sz="2"/>
                    <w:left w:val="single" w:color="E0E3E8" w:sz="2"/>
                    <w:bottom w:val="single" w:color="E0E3E8" w:sz="2"/>
                    <w:right w:val="single" w:color="E0E3E8" w:sz="2"/>
                  </w:tcBorders>
                  <w:shd w:fill="FFFFFF" w:val="clear"/>
                  <w:tcMar>
                    <w:top w:type="dxa" w:w="100"/>
                    <w:left w:type="dxa" w:w="140"/>
                    <w:bottom w:type="dxa" w:w="100"/>
                    <w:right w:type="dxa" w:w="80"/>
                  </w:tcMar>
                  <w:vAlign w:val="top"/>
                </w:tcPr>
                <w:p>
                  <w:pPr>
                    <w:spacing w:after="40" w:before="0"/>
                    <w:jc w:val="left"/>
                  </w:pPr>
                  <w:r>
                    <w:rPr>
                      <w:rFonts w:ascii="Arial" w:cs="Arial" w:eastAsia="Arial" w:hAnsi="Arial"/>
                      <w:b/>
                      <w:bCs/>
                      <w:color w:val="1A1D23"/>
                      <w:sz w:val="18"/>
                      <w:szCs w:val="18"/>
                    </w:rPr>
                    <w:t xml:space="preserve">B0FX2SHBL5</w:t>
                  </w:r>
                  <w:r>
                    <w:rPr>
                      <w:rFonts w:ascii="Arial" w:cs="Arial" w:eastAsia="Arial" w:hAnsi="Arial"/>
                      <w:sz w:val="20"/>
                      <w:szCs w:val="20"/>
                    </w:rPr>
                    <w:t xml:space="preserve">   </w:t>
                  </w:r>
                  <w:r>
                    <w:rPr>
                      <w:rFonts w:ascii="Arial" w:cs="Arial" w:eastAsia="Arial" w:hAnsi="Arial"/>
                      <w:b/>
                      <w:bCs/>
                      <w:color w:val="8A5A00"/>
                      <w:sz w:val="15"/>
                      <w:szCs w:val="15"/>
                    </w:rPr>
                    <w:t xml:space="preserve">DCVoltage UK</w:t>
                  </w:r>
                  <w:r>
                    <w:rPr>
                      <w:rFonts w:ascii="Arial" w:cs="Arial" w:eastAsia="Arial" w:hAnsi="Arial"/>
                      <w:color w:val="5A6272"/>
                      <w:sz w:val="15"/>
                      <w:szCs w:val="15"/>
                    </w:rPr>
                    <w:t xml:space="preserve">   |   SKU: LSCYRO120BM2PK+RPR44WH2PK</w:t>
                  </w:r>
                </w:p>
                <w:p>
                  <w:pPr>
                    <w:spacing w:after="30" w:before="0"/>
                    <w:jc w:val="left"/>
                  </w:pPr>
                  <w:r>
                    <w:rPr>
                      <w:rFonts w:ascii="Arial" w:cs="Arial" w:eastAsia="Arial" w:hAnsi="Arial"/>
                      <w:b/>
                      <w:bCs/>
                      <w:color w:val="1A8A4A"/>
                      <w:sz w:val="15"/>
                      <w:szCs w:val="15"/>
                    </w:rPr>
                    <w:t xml:space="preserve">Segment: HHH · ↑ Improved from HHL</w:t>
                  </w:r>
                </w:p>
                <w:p>
                  <w:pPr>
                    <w:spacing w:after="0" w:before="0"/>
                    <w:jc w:val="left"/>
                  </w:pPr>
                  <w:r>
                    <w:rPr>
                      <w:rFonts w:ascii="Arial" w:cs="Arial" w:eastAsia="Arial" w:hAnsi="Arial"/>
                      <w:color w:val="5A6272"/>
                      <w:sz w:val="14"/>
                      <w:szCs w:val="14"/>
                    </w:rPr>
                    <w:t xml:space="preserve">Impression: 12,340  |  Clicks: 487  |  Conversion: 8.4%  |  Benchmark: Imp 9,200 · Clk 310 · CVR 5.2%</w:t>
                  </w:r>
                </w:p>
              </w:tc>
              <w:tc>
                <w:tcPr>
                  <w:tcW w:type="dxa" w:w="1640"/>
                  <w:tcBorders>
                    <w:top w:val="single" w:color="E0E3E8" w:sz="2"/>
                    <w:left w:val="single" w:color="E0E3E8" w:sz="2"/>
                    <w:bottom w:val="single" w:color="E0E3E8" w:sz="2"/>
                    <w:right w:val="single" w:color="E0E3E8" w:sz="2"/>
                  </w:tcBorders>
                  <w:shd w:fill="E8F7EE" w:val="clear"/>
                  <w:tcMar>
                    <w:top w:type="dxa" w:w="80"/>
                    <w:left w:type="dxa" w:w="80"/>
                    <w:bottom w:type="dxa" w:w="80"/>
                    <w:right w:type="dxa" w:w="80"/>
                  </w:tcMar>
                  <w:vAlign w:val="center"/>
                </w:tcPr>
                <w:p>
                  <w:pPr>
                    <w:spacing w:after="30" w:before="0"/>
                    <w:jc w:val="left"/>
                  </w:pPr>
                  <w:r>
                    <w:rPr>
                      <w:rFonts w:ascii="Arial" w:cs="Arial" w:eastAsia="Arial" w:hAnsi="Arial"/>
                      <w:b/>
                      <w:bCs/>
                      <w:color w:val="1A8A4A"/>
                      <w:sz w:val="18"/>
                      <w:szCs w:val="18"/>
                    </w:rPr>
                    <w:t xml:space="preserve">HHH</w:t>
                  </w:r>
                </w:p>
                <w:p>
                  <w:pPr>
                    <w:spacing w:after="0" w:before="0"/>
                    <w:jc w:val="center"/>
                  </w:pPr>
                  <w:r>
                    <w:rPr>
                      <w:rFonts w:ascii="Arial" w:cs="Arial" w:eastAsia="Arial" w:hAnsi="Arial"/>
                      <w:color w:val="1A8A4A"/>
                      <w:sz w:val="22"/>
                      <w:szCs w:val="22"/>
                    </w:rPr>
                    <w:t xml:space="preserve">↑</w:t>
                  </w:r>
                </w:p>
              </w:tc>
              <w:tc>
                <w:tcPr>
                  <w:tcW w:type="dxa" w:w="240"/>
                  <w:tcBorders>
                    <w:top w:val="single" w:color="E0E3E8" w:sz="2"/>
                    <w:left w:val="single" w:color="E0E3E8" w:sz="2"/>
                    <w:bottom w:val="single" w:color="E0E3E8" w:sz="2"/>
                    <w:right w:val="single" w:color="E0E3E8" w:sz="2"/>
                  </w:tcBorders>
                  <w:shd w:fill="FFFFFF" w:val="clear"/>
                  <w:tcMar>
                    <w:top w:type="dxa" w:w="80"/>
                    <w:left w:type="dxa" w:w="60"/>
                    <w:bottom w:type="dxa" w:w="80"/>
                    <w:right w:type="dxa" w:w="60"/>
                  </w:tcMar>
                  <w:vAlign w:val="center"/>
                </w:tcPr>
                <w:p>
                  <w:pPr>
                    <w:spacing w:after="0" w:before="0"/>
                    <w:jc w:val="left"/>
                  </w:pPr>
                  <w:r>
                    <w:rPr>
                      <w:rFonts w:ascii="Arial" w:cs="Arial" w:eastAsia="Arial" w:hAnsi="Arial"/>
                      <w:color w:val="E0E3E8"/>
                      <w:sz w:val="20"/>
                      <w:szCs w:val="20"/>
                    </w:rPr>
                    <w:t xml:space="preserve">☐</w:t>
                  </w:r>
                </w:p>
              </w:tc>
            </w:tr>
          </w:tbl>
          <w:p>
            <w:pPr>
              <w:spacing w:after="20" w:before="0"/>
              <w:jc w:val="left"/>
            </w:pPr>
            <w:r>
              <w:rPr>
                <w:rFonts w:ascii="Arial" w:cs="Arial" w:eastAsia="Arial" w:hAnsi="Arial"/>
                <w:sz w:val="20"/>
                <w:szCs w:val="20"/>
              </w:rPr>
              <w:t xml:space="preserve"/>
            </w:r>
          </w:p>
          <w:tbl>
            <w:tblPr>
              <w:tblW w:type="dxa" w:w="7680"/>
              <w:tblBorders>
                <w:top w:val="single" w:color="auto" w:sz="4"/>
                <w:left w:val="single" w:color="auto" w:sz="4"/>
                <w:bottom w:val="single" w:color="auto" w:sz="4"/>
                <w:right w:val="single" w:color="auto" w:sz="4"/>
                <w:insideH w:val="single" w:color="auto" w:sz="4"/>
                <w:insideV w:val="single" w:color="auto" w:sz="4"/>
              </w:tblBorders>
            </w:tblPr>
            <w:tblGrid>
              <w:gridCol w:w="5800"/>
              <w:gridCol w:w="1640"/>
              <w:gridCol w:w="240"/>
            </w:tblGrid>
            <w:tr>
              <w:tc>
                <w:tcPr>
                  <w:tcW w:type="dxa" w:w="5800"/>
                  <w:tcBorders>
                    <w:top w:val="single" w:color="E0E3E8" w:sz="2"/>
                    <w:left w:val="single" w:color="E0E3E8" w:sz="2"/>
                    <w:bottom w:val="single" w:color="E0E3E8" w:sz="2"/>
                    <w:right w:val="single" w:color="E0E3E8" w:sz="2"/>
                  </w:tcBorders>
                  <w:shd w:fill="FFFFFF" w:val="clear"/>
                  <w:tcMar>
                    <w:top w:type="dxa" w:w="100"/>
                    <w:left w:type="dxa" w:w="140"/>
                    <w:bottom w:type="dxa" w:w="100"/>
                    <w:right w:type="dxa" w:w="80"/>
                  </w:tcMar>
                  <w:vAlign w:val="top"/>
                </w:tcPr>
                <w:p>
                  <w:pPr>
                    <w:spacing w:after="40" w:before="0"/>
                    <w:jc w:val="left"/>
                  </w:pPr>
                  <w:r>
                    <w:rPr>
                      <w:rFonts w:ascii="Arial" w:cs="Arial" w:eastAsia="Arial" w:hAnsi="Arial"/>
                      <w:b/>
                      <w:bCs/>
                      <w:color w:val="1A1D23"/>
                      <w:sz w:val="18"/>
                      <w:szCs w:val="18"/>
                    </w:rPr>
                    <w:t xml:space="preserve">B0CVLD9WMD</w:t>
                  </w:r>
                  <w:r>
                    <w:rPr>
                      <w:rFonts w:ascii="Arial" w:cs="Arial" w:eastAsia="Arial" w:hAnsi="Arial"/>
                      <w:sz w:val="20"/>
                      <w:szCs w:val="20"/>
                    </w:rPr>
                    <w:t xml:space="preserve">   </w:t>
                  </w:r>
                  <w:r>
                    <w:rPr>
                      <w:rFonts w:ascii="Arial" w:cs="Arial" w:eastAsia="Arial" w:hAnsi="Arial"/>
                      <w:b/>
                      <w:bCs/>
                      <w:color w:val="1A50A0"/>
                      <w:sz w:val="15"/>
                      <w:szCs w:val="15"/>
                    </w:rPr>
                    <w:t xml:space="preserve">LEDSone UK</w:t>
                  </w:r>
                  <w:r>
                    <w:rPr>
                      <w:rFonts w:ascii="Arial" w:cs="Arial" w:eastAsia="Arial" w:hAnsi="Arial"/>
                      <w:color w:val="5A6272"/>
                      <w:sz w:val="15"/>
                      <w:szCs w:val="15"/>
                    </w:rPr>
                    <w:t xml:space="preserve">   |   SKU: LSTF400OR2PK+RPR44WH2PK</w:t>
                  </w:r>
                </w:p>
                <w:p>
                  <w:pPr>
                    <w:spacing w:after="30" w:before="0"/>
                    <w:jc w:val="left"/>
                  </w:pPr>
                  <w:r>
                    <w:rPr>
                      <w:rFonts w:ascii="Arial" w:cs="Arial" w:eastAsia="Arial" w:hAnsi="Arial"/>
                      <w:b w:val="false"/>
                      <w:bCs w:val="false"/>
                      <w:color w:val="5A6272"/>
                      <w:sz w:val="15"/>
                      <w:szCs w:val="15"/>
                    </w:rPr>
                    <w:t xml:space="preserve">Segment: HHH · → Same segment as last month</w:t>
                  </w:r>
                </w:p>
                <w:p>
                  <w:pPr>
                    <w:spacing w:after="0" w:before="0"/>
                    <w:jc w:val="left"/>
                  </w:pPr>
                  <w:r>
                    <w:rPr>
                      <w:rFonts w:ascii="Arial" w:cs="Arial" w:eastAsia="Arial" w:hAnsi="Arial"/>
                      <w:color w:val="5A6272"/>
                      <w:sz w:val="14"/>
                      <w:szCs w:val="14"/>
                    </w:rPr>
                    <w:t xml:space="preserve">Impression: 12,340  |  Clicks: 487  |  Conversion: 8.4%  |  Benchmark: Imp 9,200 · Clk 310 · CVR 5.2%</w:t>
                  </w:r>
                </w:p>
              </w:tc>
              <w:tc>
                <w:tcPr>
                  <w:tcW w:type="dxa" w:w="1640"/>
                  <w:tcBorders>
                    <w:top w:val="single" w:color="E0E3E8" w:sz="2"/>
                    <w:left w:val="single" w:color="E0E3E8" w:sz="2"/>
                    <w:bottom w:val="single" w:color="E0E3E8" w:sz="2"/>
                    <w:right w:val="single" w:color="E0E3E8" w:sz="2"/>
                  </w:tcBorders>
                  <w:shd w:fill="E8F7EE" w:val="clear"/>
                  <w:tcMar>
                    <w:top w:type="dxa" w:w="80"/>
                    <w:left w:type="dxa" w:w="80"/>
                    <w:bottom w:type="dxa" w:w="80"/>
                    <w:right w:type="dxa" w:w="80"/>
                  </w:tcMar>
                  <w:vAlign w:val="center"/>
                </w:tcPr>
                <w:p>
                  <w:pPr>
                    <w:spacing w:after="30" w:before="0"/>
                    <w:jc w:val="left"/>
                  </w:pPr>
                  <w:r>
                    <w:rPr>
                      <w:rFonts w:ascii="Arial" w:cs="Arial" w:eastAsia="Arial" w:hAnsi="Arial"/>
                      <w:b/>
                      <w:bCs/>
                      <w:color w:val="1A8A4A"/>
                      <w:sz w:val="18"/>
                      <w:szCs w:val="18"/>
                    </w:rPr>
                    <w:t xml:space="preserve">HHH</w:t>
                  </w:r>
                </w:p>
                <w:p>
                  <w:pPr>
                    <w:spacing w:after="0" w:before="0"/>
                    <w:jc w:val="center"/>
                  </w:pPr>
                  <w:r>
                    <w:rPr>
                      <w:rFonts w:ascii="Arial" w:cs="Arial" w:eastAsia="Arial" w:hAnsi="Arial"/>
                      <w:color w:val="5A6272"/>
                      <w:sz w:val="22"/>
                      <w:szCs w:val="22"/>
                    </w:rPr>
                    <w:t xml:space="preserve">→</w:t>
                  </w:r>
                </w:p>
              </w:tc>
              <w:tc>
                <w:tcPr>
                  <w:tcW w:type="dxa" w:w="240"/>
                  <w:tcBorders>
                    <w:top w:val="single" w:color="E0E3E8" w:sz="2"/>
                    <w:left w:val="single" w:color="E0E3E8" w:sz="2"/>
                    <w:bottom w:val="single" w:color="E0E3E8" w:sz="2"/>
                    <w:right w:val="single" w:color="E0E3E8" w:sz="2"/>
                  </w:tcBorders>
                  <w:shd w:fill="FFFFFF" w:val="clear"/>
                  <w:tcMar>
                    <w:top w:type="dxa" w:w="80"/>
                    <w:left w:type="dxa" w:w="60"/>
                    <w:bottom w:type="dxa" w:w="80"/>
                    <w:right w:type="dxa" w:w="60"/>
                  </w:tcMar>
                  <w:vAlign w:val="center"/>
                </w:tcPr>
                <w:p>
                  <w:pPr>
                    <w:spacing w:after="0" w:before="0"/>
                    <w:jc w:val="left"/>
                  </w:pPr>
                  <w:r>
                    <w:rPr>
                      <w:rFonts w:ascii="Arial" w:cs="Arial" w:eastAsia="Arial" w:hAnsi="Arial"/>
                      <w:color w:val="E0E3E8"/>
                      <w:sz w:val="20"/>
                      <w:szCs w:val="20"/>
                    </w:rPr>
                    <w:t xml:space="preserve">☐</w:t>
                  </w:r>
                </w:p>
              </w:tc>
            </w:tr>
          </w:tbl>
          <w:p>
            <w:pPr>
              <w:spacing w:after="20" w:before="0"/>
              <w:jc w:val="left"/>
            </w:pPr>
            <w:r>
              <w:rPr>
                <w:rFonts w:ascii="Arial" w:cs="Arial" w:eastAsia="Arial" w:hAnsi="Arial"/>
                <w:sz w:val="20"/>
                <w:szCs w:val="20"/>
              </w:rPr>
              <w:t xml:space="preserve"/>
            </w:r>
          </w:p>
          <w:tbl>
            <w:tblPr>
              <w:tblW w:type="dxa" w:w="7680"/>
              <w:tblBorders>
                <w:top w:val="single" w:color="auto" w:sz="4"/>
                <w:left w:val="single" w:color="auto" w:sz="4"/>
                <w:bottom w:val="single" w:color="auto" w:sz="4"/>
                <w:right w:val="single" w:color="auto" w:sz="4"/>
                <w:insideH w:val="single" w:color="auto" w:sz="4"/>
                <w:insideV w:val="single" w:color="auto" w:sz="4"/>
              </w:tblBorders>
            </w:tblPr>
            <w:tblGrid>
              <w:gridCol w:w="5800"/>
              <w:gridCol w:w="1640"/>
              <w:gridCol w:w="240"/>
            </w:tblGrid>
            <w:tr>
              <w:tc>
                <w:tcPr>
                  <w:tcW w:type="dxa" w:w="5800"/>
                  <w:tcBorders>
                    <w:top w:val="single" w:color="E0E3E8" w:sz="2"/>
                    <w:left w:val="single" w:color="E0E3E8" w:sz="2"/>
                    <w:bottom w:val="single" w:color="E0E3E8" w:sz="2"/>
                    <w:right w:val="single" w:color="E0E3E8" w:sz="2"/>
                  </w:tcBorders>
                  <w:shd w:fill="FFFFFF" w:val="clear"/>
                  <w:tcMar>
                    <w:top w:type="dxa" w:w="100"/>
                    <w:left w:type="dxa" w:w="140"/>
                    <w:bottom w:type="dxa" w:w="100"/>
                    <w:right w:type="dxa" w:w="80"/>
                  </w:tcMar>
                  <w:vAlign w:val="top"/>
                </w:tcPr>
                <w:p>
                  <w:pPr>
                    <w:spacing w:after="40" w:before="0"/>
                    <w:jc w:val="left"/>
                  </w:pPr>
                  <w:r>
                    <w:rPr>
                      <w:rFonts w:ascii="Arial" w:cs="Arial" w:eastAsia="Arial" w:hAnsi="Arial"/>
                      <w:b/>
                      <w:bCs/>
                      <w:color w:val="1A1D23"/>
                      <w:sz w:val="18"/>
                      <w:szCs w:val="18"/>
                    </w:rPr>
                    <w:t xml:space="preserve">B0DXQ9BPVH</w:t>
                  </w:r>
                  <w:r>
                    <w:rPr>
                      <w:rFonts w:ascii="Arial" w:cs="Arial" w:eastAsia="Arial" w:hAnsi="Arial"/>
                      <w:sz w:val="20"/>
                      <w:szCs w:val="20"/>
                    </w:rPr>
                    <w:t xml:space="preserve">   </w:t>
                  </w:r>
                  <w:r>
                    <w:rPr>
                      <w:rFonts w:ascii="Arial" w:cs="Arial" w:eastAsia="Arial" w:hAnsi="Arial"/>
                      <w:b/>
                      <w:bCs/>
                      <w:color w:val="1A50A0"/>
                      <w:sz w:val="15"/>
                      <w:szCs w:val="15"/>
                    </w:rPr>
                    <w:t xml:space="preserve">LEDSone UK</w:t>
                  </w:r>
                  <w:r>
                    <w:rPr>
                      <w:rFonts w:ascii="Arial" w:cs="Arial" w:eastAsia="Arial" w:hAnsi="Arial"/>
                      <w:color w:val="5A6272"/>
                      <w:sz w:val="15"/>
                      <w:szCs w:val="15"/>
                    </w:rPr>
                    <w:t xml:space="preserve">   |   SKU: LSCY290BB2PK+RPR44WH2PK</w:t>
                  </w:r>
                </w:p>
                <w:p>
                  <w:pPr>
                    <w:spacing w:after="30" w:before="0"/>
                    <w:jc w:val="left"/>
                  </w:pPr>
                  <w:r>
                    <w:rPr>
                      <w:rFonts w:ascii="Arial" w:cs="Arial" w:eastAsia="Arial" w:hAnsi="Arial"/>
                      <w:b/>
                      <w:bCs/>
                      <w:color w:val="C0392B"/>
                      <w:sz w:val="15"/>
                      <w:szCs w:val="15"/>
                    </w:rPr>
                    <w:t xml:space="preserve">Segment: HHL · ↓ Declined from HHH</w:t>
                  </w:r>
                </w:p>
                <w:p>
                  <w:pPr>
                    <w:spacing w:after="0" w:before="0"/>
                    <w:jc w:val="left"/>
                  </w:pPr>
                  <w:r>
                    <w:rPr>
                      <w:rFonts w:ascii="Arial" w:cs="Arial" w:eastAsia="Arial" w:hAnsi="Arial"/>
                      <w:color w:val="5A6272"/>
                      <w:sz w:val="14"/>
                      <w:szCs w:val="14"/>
                    </w:rPr>
                    <w:t xml:space="preserve">Impression: 12,340  |  Clicks: 487  |  Conversion: 8.4%  |  Benchmark: Imp 9,200 · Clk 310 · CVR 5.2%</w:t>
                  </w:r>
                </w:p>
              </w:tc>
              <w:tc>
                <w:tcPr>
                  <w:tcW w:type="dxa" w:w="1640"/>
                  <w:tcBorders>
                    <w:top w:val="single" w:color="E0E3E8" w:sz="2"/>
                    <w:left w:val="single" w:color="E0E3E8" w:sz="2"/>
                    <w:bottom w:val="single" w:color="E0E3E8" w:sz="2"/>
                    <w:right w:val="single" w:color="E0E3E8" w:sz="2"/>
                  </w:tcBorders>
                  <w:shd w:fill="FFFBF0" w:val="clear"/>
                  <w:tcMar>
                    <w:top w:type="dxa" w:w="80"/>
                    <w:left w:type="dxa" w:w="80"/>
                    <w:bottom w:type="dxa" w:w="80"/>
                    <w:right w:type="dxa" w:w="80"/>
                  </w:tcMar>
                  <w:vAlign w:val="center"/>
                </w:tcPr>
                <w:p>
                  <w:pPr>
                    <w:spacing w:after="30" w:before="0"/>
                    <w:jc w:val="left"/>
                  </w:pPr>
                  <w:r>
                    <w:rPr>
                      <w:rFonts w:ascii="Arial" w:cs="Arial" w:eastAsia="Arial" w:hAnsi="Arial"/>
                      <w:b/>
                      <w:bCs/>
                      <w:color w:val="B87800"/>
                      <w:sz w:val="18"/>
                      <w:szCs w:val="18"/>
                    </w:rPr>
                    <w:t xml:space="preserve">HHL</w:t>
                  </w:r>
                </w:p>
                <w:p>
                  <w:pPr>
                    <w:spacing w:after="0" w:before="0"/>
                    <w:jc w:val="center"/>
                  </w:pPr>
                  <w:r>
                    <w:rPr>
                      <w:rFonts w:ascii="Arial" w:cs="Arial" w:eastAsia="Arial" w:hAnsi="Arial"/>
                      <w:color w:val="C0392B"/>
                      <w:sz w:val="22"/>
                      <w:szCs w:val="22"/>
                    </w:rPr>
                    <w:t xml:space="preserve">→</w:t>
                  </w:r>
                </w:p>
              </w:tc>
              <w:tc>
                <w:tcPr>
                  <w:tcW w:type="dxa" w:w="240"/>
                  <w:tcBorders>
                    <w:top w:val="single" w:color="E0E3E8" w:sz="2"/>
                    <w:left w:val="single" w:color="E0E3E8" w:sz="2"/>
                    <w:bottom w:val="single" w:color="E0E3E8" w:sz="2"/>
                    <w:right w:val="single" w:color="E0E3E8" w:sz="2"/>
                  </w:tcBorders>
                  <w:shd w:fill="FFFFFF" w:val="clear"/>
                  <w:tcMar>
                    <w:top w:type="dxa" w:w="80"/>
                    <w:left w:type="dxa" w:w="60"/>
                    <w:bottom w:type="dxa" w:w="80"/>
                    <w:right w:type="dxa" w:w="60"/>
                  </w:tcMar>
                  <w:vAlign w:val="center"/>
                </w:tcPr>
                <w:p>
                  <w:pPr>
                    <w:spacing w:after="0" w:before="0"/>
                    <w:jc w:val="left"/>
                  </w:pPr>
                  <w:r>
                    <w:rPr>
                      <w:rFonts w:ascii="Arial" w:cs="Arial" w:eastAsia="Arial" w:hAnsi="Arial"/>
                      <w:color w:val="E0E3E8"/>
                      <w:sz w:val="20"/>
                      <w:szCs w:val="20"/>
                    </w:rPr>
                    <w:t xml:space="preserve">☐</w:t>
                  </w:r>
                </w:p>
              </w:tc>
            </w:tr>
          </w:tbl>
          <w:p>
            <w:pPr>
              <w:spacing w:after="40" w:before="0"/>
              <w:jc w:val="left"/>
            </w:pPr>
            <w:r>
              <w:rPr>
                <w:rFonts w:ascii="Arial" w:cs="Arial" w:eastAsia="Arial" w:hAnsi="Arial"/>
                <w:sz w:val="20"/>
                <w:szCs w:val="20"/>
              </w:rPr>
              <w:t xml:space="preserve"/>
            </w:r>
          </w:p>
          <w:p>
            <w:pPr>
              <w:spacing w:after="0" w:before="0"/>
              <w:jc w:val="left"/>
            </w:pPr>
            <w:r>
              <w:rPr>
                <w:rFonts w:ascii="Arial" w:cs="Arial" w:eastAsia="Arial" w:hAnsi="Arial"/>
                <w:i/>
                <w:iCs/>
                <w:color w:val="9AA0AD"/>
                <w:sz w:val="15"/>
                <w:szCs w:val="15"/>
              </w:rPr>
              <w:t xml:space="preserve">… (continued for all ASINs in HHH for this PH)</w:t>
            </w:r>
          </w:p>
        </w:tc>
      </w:tr>
    </w:tbl>
    <w:p>
      <w:pPr>
        <w:spacing w:after="80" w:before="0"/>
        <w:jc w:val="left"/>
      </w:pPr>
      <w:r>
        <w:rPr>
          <w:rFonts w:ascii="Arial" w:cs="Arial" w:eastAsia="Arial" w:hAnsi="Arial"/>
          <w:sz w:val="20"/>
          <w:szCs w:val="20"/>
        </w:rPr>
        <w:t xml:space="preserve"/>
      </w:r>
    </w:p>
    <w:p>
      <w:pPr>
        <w:spacing w:after="0" w:before="0"/>
        <w:jc w:val="left"/>
      </w:pPr>
      <w:r>
        <w:rPr>
          <w:rFonts w:ascii="Arial" w:cs="Arial" w:eastAsia="Arial" w:hAnsi="Arial"/>
          <w:i/>
          <w:iCs/>
          <w:color w:val="5A6272"/>
          <w:sz w:val="17"/>
          <w:szCs w:val="17"/>
        </w:rPr>
        <w:t xml:space="preserve">Each segment tab filters the sidebar and cards to show only ASINs in that segment. Tick boxes allow Bietrick or sub-leaders to mark each ASIN as actioned. Progress bar updates live. The configurator panel shows the category benchmark thresholds for that PH.</w:t>
      </w:r>
    </w:p>
    <w:p>
      <w:pPr>
        <w:spacing w:after="120" w:before="0"/>
        <w:jc w:val="left"/>
      </w:pPr>
      <w:r>
        <w:rPr>
          <w:rFonts w:ascii="Arial" w:cs="Arial" w:eastAsia="Arial" w:hAnsi="Arial"/>
          <w:sz w:val="20"/>
          <w:szCs w:val="20"/>
        </w:rPr>
        <w:t xml:space="preserve"/>
      </w:r>
    </w:p>
    <w:p>
      <w:pPr>
        <w:pStyle w:val="Heading1"/>
        <w:pBdr>
          <w:bottom w:val="single" w:color="C0392B" w:sz="6" w:space="4"/>
        </w:pBdr>
        <w:spacing w:after="160" w:before="320"/>
      </w:pPr>
      <w:r>
        <w:rPr>
          <w:rFonts w:ascii="Arial" w:cs="Arial" w:eastAsia="Arial" w:hAnsi="Arial"/>
          <w:b/>
          <w:bCs/>
          <w:color w:val="C0392B"/>
          <w:sz w:val="28"/>
          <w:szCs w:val="28"/>
        </w:rPr>
        <w:t xml:space="preserve">6. MONTHLY EXECUTION CADENCE</w:t>
      </w:r>
    </w:p>
    <w:p>
      <w:pPr>
        <w:spacing w:after="120" w:before="0"/>
        <w:jc w:val="left"/>
      </w:pPr>
      <w:r>
        <w:rPr>
          <w:rFonts w:ascii="Arial" w:cs="Arial" w:eastAsia="Arial" w:hAnsi="Arial"/>
          <w:sz w:val="20"/>
          <w:szCs w:val="20"/>
        </w:rPr>
        <w:t xml:space="preserve">Every 1st of the month. Non-negotiable. Segmentation report must be ready and sent to sub-leaders by end of day on the 1st.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5100"/>
        <w:gridCol w:w="3280"/>
      </w:tblGrid>
      <w:tr>
        <w:trPr>
          <w:tblHeader/>
        </w:trPr>
        <w:tc>
          <w:tcPr>
            <w:tcW w:type="dxa" w:w="50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Step</w:t>
            </w:r>
          </w:p>
        </w:tc>
        <w:tc>
          <w:tcPr>
            <w:tcW w:type="dxa" w:w="120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Time</w:t>
            </w:r>
          </w:p>
        </w:tc>
        <w:tc>
          <w:tcPr>
            <w:tcW w:type="dxa" w:w="510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Action</w:t>
            </w:r>
          </w:p>
        </w:tc>
        <w:tc>
          <w:tcPr>
            <w:tcW w:type="dxa" w:w="328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Output</w:t>
            </w:r>
          </w:p>
        </w:tc>
      </w:tr>
      <w:tr>
        <w:tc>
          <w:tcPr>
            <w:tcW w:type="dxa" w:w="5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1</w:t>
            </w:r>
          </w:p>
        </w:tc>
        <w:tc>
          <w:tcPr>
            <w:tcW w:type="dxa" w:w="12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09:00–09:20</w:t>
            </w:r>
          </w:p>
        </w:tc>
        <w:tc>
          <w:tcPr>
            <w:tcW w:type="dxa" w:w="51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Run Step 1 prompt for each PH. Collect category benchmarks (configurators).</w:t>
            </w:r>
          </w:p>
        </w:tc>
        <w:tc>
          <w:tcPr>
            <w:tcW w:type="dxa" w:w="328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Benchmark thresholds per PH per category</w:t>
            </w:r>
          </w:p>
        </w:tc>
      </w:tr>
      <w:tr>
        <w:tc>
          <w:tcPr>
            <w:tcW w:type="dxa" w:w="5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2</w:t>
            </w:r>
          </w:p>
        </w:tc>
        <w:tc>
          <w:tcPr>
            <w:tcW w:type="dxa" w:w="12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09:20–09:45</w:t>
            </w:r>
          </w:p>
        </w:tc>
        <w:tc>
          <w:tcPr>
            <w:tcW w:type="dxa" w:w="51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Run Step 2 prompt for each PH. Classify all ASINs into segments.</w:t>
            </w:r>
          </w:p>
        </w:tc>
        <w:tc>
          <w:tcPr>
            <w:tcW w:type="dxa" w:w="328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Segment code per ASIN per PH</w:t>
            </w:r>
          </w:p>
        </w:tc>
      </w:tr>
      <w:tr>
        <w:tc>
          <w:tcPr>
            <w:tcW w:type="dxa" w:w="5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3</w:t>
            </w:r>
          </w:p>
        </w:tc>
        <w:tc>
          <w:tcPr>
            <w:tcW w:type="dxa" w:w="12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09:45–10:05</w:t>
            </w:r>
          </w:p>
        </w:tc>
        <w:tc>
          <w:tcPr>
            <w:tcW w:type="dxa" w:w="51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Run Step 3 prompt for each PH. Compare to previous month. Get movement labels.</w:t>
            </w:r>
          </w:p>
        </w:tc>
        <w:tc>
          <w:tcPr>
            <w:tcW w:type="dxa" w:w="328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Movement label per ASIN (Improved/Same/Declined/New)</w:t>
            </w:r>
          </w:p>
        </w:tc>
      </w:tr>
      <w:tr>
        <w:tc>
          <w:tcPr>
            <w:tcW w:type="dxa" w:w="5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4</w:t>
            </w:r>
          </w:p>
        </w:tc>
        <w:tc>
          <w:tcPr>
            <w:tcW w:type="dxa" w:w="12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10:05–10:20</w:t>
            </w:r>
          </w:p>
        </w:tc>
        <w:tc>
          <w:tcPr>
            <w:tcW w:type="dxa" w:w="51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Run Step 4 prompt. Claude generates the full HTML report.</w:t>
            </w:r>
          </w:p>
        </w:tc>
        <w:tc>
          <w:tcPr>
            <w:tcW w:type="dxa" w:w="328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Interactive HTML segmentation report</w:t>
            </w:r>
          </w:p>
        </w:tc>
      </w:tr>
      <w:tr>
        <w:tc>
          <w:tcPr>
            <w:tcW w:type="dxa" w:w="5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5</w:t>
            </w:r>
          </w:p>
        </w:tc>
        <w:tc>
          <w:tcPr>
            <w:tcW w:type="dxa" w:w="12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10:20–10:30</w:t>
            </w:r>
          </w:p>
        </w:tc>
        <w:tc>
          <w:tcPr>
            <w:tcW w:type="dxa" w:w="51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Bietrick reviews the report. Flags any LLL ASINs for immediate attention.</w:t>
            </w:r>
          </w:p>
        </w:tc>
        <w:tc>
          <w:tcPr>
            <w:tcW w:type="dxa" w:w="328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Review complete</w:t>
            </w:r>
          </w:p>
        </w:tc>
      </w:tr>
      <w:tr>
        <w:tc>
          <w:tcPr>
            <w:tcW w:type="dxa" w:w="5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6</w:t>
            </w:r>
          </w:p>
        </w:tc>
        <w:tc>
          <w:tcPr>
            <w:tcW w:type="dxa" w:w="12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10:30–10:45</w:t>
            </w:r>
          </w:p>
        </w:tc>
        <w:tc>
          <w:tcPr>
            <w:tcW w:type="dxa" w:w="51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Send HTML report to sub-leaders. Each sub-leader reviews their PHs' ASINs.</w:t>
            </w:r>
          </w:p>
        </w:tc>
        <w:tc>
          <w:tcPr>
            <w:tcW w:type="dxa" w:w="328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Report distributed</w:t>
            </w:r>
          </w:p>
        </w:tc>
      </w:tr>
      <w:tr>
        <w:tc>
          <w:tcPr>
            <w:tcW w:type="dxa" w:w="5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7</w:t>
            </w:r>
          </w:p>
        </w:tc>
        <w:tc>
          <w:tcPr>
            <w:tcW w:type="dxa" w:w="12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By end of day 3rd</w:t>
            </w:r>
          </w:p>
        </w:tc>
        <w:tc>
          <w:tcPr>
            <w:tcW w:type="dxa" w:w="51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Sub-leaders assign action plan instructions to each PH per flagged ASIN.</w:t>
            </w:r>
          </w:p>
        </w:tc>
        <w:tc>
          <w:tcPr>
            <w:tcW w:type="dxa" w:w="328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Actions assigned — tracked via tick boxes</w:t>
            </w:r>
          </w:p>
        </w:tc>
      </w:tr>
      <w:tr>
        <w:tc>
          <w:tcPr>
            <w:tcW w:type="dxa" w:w="5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8</w:t>
            </w:r>
          </w:p>
        </w:tc>
        <w:tc>
          <w:tcPr>
            <w:tcW w:type="dxa" w:w="12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By 7th of month</w:t>
            </w:r>
          </w:p>
        </w:tc>
        <w:tc>
          <w:tcPr>
            <w:tcW w:type="dxa" w:w="51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PHs confirm actions taken. Sub-leaders verify in next weekly leakage report.</w:t>
            </w:r>
          </w:p>
        </w:tc>
        <w:tc>
          <w:tcPr>
            <w:tcW w:type="dxa" w:w="328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Accountability confirmed</w:t>
            </w:r>
          </w:p>
        </w:tc>
      </w:tr>
    </w:tbl>
    <w:p>
      <w:pPr>
        <w:spacing w:after="120" w:before="0"/>
        <w:jc w:val="left"/>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B3A6B" w:sz="16"/>
              <w:bottom w:val="none" w:color="FFFFFF" w:sz="0"/>
              <w:right w:val="none" w:color="FFFFFF" w:sz="0"/>
            </w:tcBorders>
            <w:shd w:fill="EEF3FB" w:val="clear"/>
            <w:tcMar>
              <w:top w:type="dxa" w:w="100"/>
              <w:left w:type="dxa" w:w="160"/>
              <w:bottom w:type="dxa" w:w="100"/>
              <w:right w:type="dxa" w:w="120"/>
            </w:tcMar>
            <w:vAlign w:val="top"/>
          </w:tcPr>
          <w:p>
            <w:pPr>
              <w:spacing w:after="0" w:before="0"/>
              <w:jc w:val="left"/>
            </w:pPr>
            <w:r>
              <w:rPr>
                <w:rFonts w:ascii="Arial" w:cs="Arial" w:eastAsia="Arial" w:hAnsi="Arial"/>
                <w:color w:val="1B3A6B"/>
                <w:sz w:val="20"/>
                <w:szCs w:val="20"/>
              </w:rPr>
              <w:t xml:space="preserve">The segmentation report and the weekly leakage report are separate but complementary. The leakage report catches immediate weekly cash bleeding. The segmentation report tracks structural performance trajectory monthly. Both are required.</w:t>
            </w:r>
          </w:p>
        </w:tc>
      </w:tr>
    </w:tbl>
    <w:p>
      <w:pPr>
        <w:spacing w:after="120" w:before="0"/>
        <w:jc w:val="left"/>
      </w:pPr>
      <w:r>
        <w:rPr>
          <w:rFonts w:ascii="Arial" w:cs="Arial" w:eastAsia="Arial" w:hAnsi="Arial"/>
          <w:sz w:val="20"/>
          <w:szCs w:val="20"/>
        </w:rPr>
        <w:t xml:space="preserve"/>
      </w:r>
    </w:p>
    <w:p>
      <w:pPr>
        <w:pStyle w:val="Heading1"/>
        <w:pBdr>
          <w:bottom w:val="single" w:color="C0392B" w:sz="6" w:space="4"/>
        </w:pBdr>
        <w:spacing w:after="160" w:before="320"/>
      </w:pPr>
      <w:r>
        <w:rPr>
          <w:rFonts w:ascii="Arial" w:cs="Arial" w:eastAsia="Arial" w:hAnsi="Arial"/>
          <w:b/>
          <w:bCs/>
          <w:color w:val="C0392B"/>
          <w:sz w:val="28"/>
          <w:szCs w:val="28"/>
        </w:rPr>
        <w:t xml:space="preserve">7. DATA SOURCES &amp; FIELD REFERENCE</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gridCol w:w="2400"/>
      </w:tblGrid>
      <w:tr>
        <w:trPr>
          <w:tblHeader/>
        </w:trPr>
        <w:tc>
          <w:tcPr>
            <w:tcW w:type="dxa" w:w="180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Data Point</w:t>
            </w:r>
          </w:p>
        </w:tc>
        <w:tc>
          <w:tcPr>
            <w:tcW w:type="dxa" w:w="240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Table</w:t>
            </w:r>
          </w:p>
        </w:tc>
        <w:tc>
          <w:tcPr>
            <w:tcW w:type="dxa" w:w="240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Field</w:t>
            </w:r>
          </w:p>
        </w:tc>
        <w:tc>
          <w:tcPr>
            <w:tcW w:type="dxa" w:w="240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Filter</w:t>
            </w:r>
          </w:p>
        </w:tc>
        <w:tc>
          <w:tcPr>
            <w:tcW w:type="dxa" w:w="240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Notes</w:t>
            </w:r>
          </w:p>
        </w:tc>
      </w:tr>
      <w:tr>
        <w:tc>
          <w:tcPr>
            <w:tcW w:type="dxa" w:w="18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Impressions</w:t>
            </w:r>
          </w:p>
        </w:tc>
        <w:tc>
          <w:tcPr>
            <w:tcW w:type="dxa" w:w="24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traffic_data</w:t>
            </w:r>
          </w:p>
        </w:tc>
        <w:tc>
          <w:tcPr>
            <w:tcW w:type="dxa" w:w="24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impression</w:t>
            </w:r>
          </w:p>
        </w:tc>
        <w:tc>
          <w:tcPr>
            <w:tcW w:type="dxa" w:w="24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which_channel=1, market_place='UK'</w:t>
            </w:r>
          </w:p>
        </w:tc>
        <w:tc>
          <w:tcPr>
            <w:tcW w:type="dxa" w:w="24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30-day SUM per ASIN</w:t>
            </w:r>
          </w:p>
        </w:tc>
      </w:tr>
      <w:tr>
        <w:tc>
          <w:tcPr>
            <w:tcW w:type="dxa" w:w="18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Clicks</w:t>
            </w:r>
          </w:p>
        </w:tc>
        <w:tc>
          <w:tcPr>
            <w:tcW w:type="dxa" w:w="24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traffic_data</w:t>
            </w:r>
          </w:p>
        </w:tc>
        <w:tc>
          <w:tcPr>
            <w:tcW w:type="dxa" w:w="24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click</w:t>
            </w:r>
          </w:p>
        </w:tc>
        <w:tc>
          <w:tcPr>
            <w:tcW w:type="dxa" w:w="24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which_channel=1, market_place='UK'</w:t>
            </w:r>
          </w:p>
        </w:tc>
        <w:tc>
          <w:tcPr>
            <w:tcW w:type="dxa" w:w="24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30-day SUM per ASIN</w:t>
            </w:r>
          </w:p>
        </w:tc>
      </w:tr>
      <w:tr>
        <w:tc>
          <w:tcPr>
            <w:tcW w:type="dxa" w:w="18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CVR</w:t>
            </w:r>
          </w:p>
        </w:tc>
        <w:tc>
          <w:tcPr>
            <w:tcW w:type="dxa" w:w="24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traffic_data</w:t>
            </w:r>
          </w:p>
        </w:tc>
        <w:tc>
          <w:tcPr>
            <w:tcW w:type="dxa" w:w="24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conversion / click × 100</w:t>
            </w:r>
          </w:p>
        </w:tc>
        <w:tc>
          <w:tcPr>
            <w:tcW w:type="dxa" w:w="24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which_channel=1, market_place='UK'</w:t>
            </w:r>
          </w:p>
        </w:tc>
        <w:tc>
          <w:tcPr>
            <w:tcW w:type="dxa" w:w="24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30-day rate — NULLIF(click,0) to avoid div/0</w:t>
            </w:r>
          </w:p>
        </w:tc>
      </w:tr>
      <w:tr>
        <w:tc>
          <w:tcPr>
            <w:tcW w:type="dxa" w:w="18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ASIN</w:t>
            </w:r>
          </w:p>
        </w:tc>
        <w:tc>
          <w:tcPr>
            <w:tcW w:type="dxa" w:w="24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traffic_data</w:t>
            </w:r>
          </w:p>
        </w:tc>
        <w:tc>
          <w:tcPr>
            <w:tcW w:type="dxa" w:w="24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ref_id</w:t>
            </w:r>
          </w:p>
        </w:tc>
        <w:tc>
          <w:tcPr>
            <w:tcW w:type="dxa" w:w="24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ASIN field in traffic_data</w:t>
            </w:r>
          </w:p>
        </w:tc>
        <w:tc>
          <w:tcPr>
            <w:tcW w:type="dxa" w:w="24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Not called 'asin' in this table</w:t>
            </w:r>
          </w:p>
        </w:tc>
      </w:tr>
      <w:tr>
        <w:tc>
          <w:tcPr>
            <w:tcW w:type="dxa" w:w="18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PH Ownership</w:t>
            </w:r>
          </w:p>
        </w:tc>
        <w:tc>
          <w:tcPr>
            <w:tcW w:type="dxa" w:w="24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analytics.ph_segment</w:t>
            </w:r>
          </w:p>
        </w:tc>
        <w:tc>
          <w:tcPr>
            <w:tcW w:type="dxa" w:w="24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user_name</w:t>
            </w:r>
          </w:p>
        </w:tc>
        <w:tc>
          <w:tcPr>
            <w:tcW w:type="dxa" w:w="24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which_channel=1, market_place='UK', latest period_end</w:t>
            </w:r>
          </w:p>
        </w:tc>
        <w:tc>
          <w:tcPr>
            <w:tcW w:type="dxa" w:w="24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Use MAX(period_end) filter</w:t>
            </w:r>
          </w:p>
        </w:tc>
      </w:tr>
      <w:tr>
        <w:tc>
          <w:tcPr>
            <w:tcW w:type="dxa" w:w="18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Units Sold</w:t>
            </w:r>
          </w:p>
        </w:tc>
        <w:tc>
          <w:tcPr>
            <w:tcW w:type="dxa" w:w="24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order_transaction</w:t>
            </w:r>
          </w:p>
        </w:tc>
        <w:tc>
          <w:tcPr>
            <w:tcW w:type="dxa" w:w="24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quantity</w:t>
            </w:r>
          </w:p>
        </w:tc>
        <w:tc>
          <w:tcPr>
            <w:tcW w:type="dxa" w:w="24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source_name='AMAZON', market_place='UK'</w:t>
            </w:r>
          </w:p>
        </w:tc>
        <w:tc>
          <w:tcPr>
            <w:tcW w:type="dxa" w:w="24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For benchmark top-30 calculation</w:t>
            </w:r>
          </w:p>
        </w:tc>
      </w:tr>
      <w:tr>
        <w:tc>
          <w:tcPr>
            <w:tcW w:type="dxa" w:w="18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Account Name</w:t>
            </w:r>
          </w:p>
        </w:tc>
        <w:tc>
          <w:tcPr>
            <w:tcW w:type="dxa" w:w="24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order_transaction</w:t>
            </w:r>
          </w:p>
        </w:tc>
        <w:tc>
          <w:tcPr>
            <w:tcW w:type="dxa" w:w="24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ss_name</w:t>
            </w:r>
          </w:p>
        </w:tc>
        <w:tc>
          <w:tcPr>
            <w:tcW w:type="dxa" w:w="24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amazon Ledsone / amazon Dcvoltage</w:t>
            </w:r>
          </w:p>
        </w:tc>
        <w:tc>
          <w:tcPr>
            <w:tcW w:type="dxa" w:w="24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Display as LEDSone UK or DCVoltage UK</w:t>
            </w:r>
          </w:p>
        </w:tc>
      </w:tr>
      <w:tr>
        <w:tc>
          <w:tcPr>
            <w:tcW w:type="dxa" w:w="18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SKU</w:t>
            </w:r>
          </w:p>
        </w:tc>
        <w:tc>
          <w:tcPr>
            <w:tcW w:type="dxa" w:w="24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order_transaction</w:t>
            </w:r>
          </w:p>
        </w:tc>
        <w:tc>
          <w:tcPr>
            <w:tcW w:type="dxa" w:w="24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sku</w:t>
            </w:r>
          </w:p>
        </w:tc>
        <w:tc>
          <w:tcPr>
            <w:tcW w:type="dxa" w:w="24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w:t>
            </w:r>
          </w:p>
        </w:tc>
        <w:tc>
          <w:tcPr>
            <w:tcW w:type="dxa" w:w="24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Join to traffic_data via ASIN</w:t>
            </w:r>
          </w:p>
        </w:tc>
      </w:tr>
      <w:tr>
        <w:tc>
          <w:tcPr>
            <w:tcW w:type="dxa" w:w="18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PPC Spend</w:t>
            </w:r>
          </w:p>
        </w:tc>
        <w:tc>
          <w:tcPr>
            <w:tcW w:type="dxa" w:w="24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ppc_performance</w:t>
            </w:r>
          </w:p>
        </w:tc>
        <w:tc>
          <w:tcPr>
            <w:tcW w:type="dxa" w:w="24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spend</w:t>
            </w:r>
          </w:p>
        </w:tc>
        <w:tc>
          <w:tcPr>
            <w:tcW w:type="dxa" w:w="24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source_name='AMAZON', marketplace='UK'</w:t>
            </w:r>
          </w:p>
        </w:tc>
        <w:tc>
          <w:tcPr>
            <w:tcW w:type="dxa" w:w="24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Used for kill criteria checks only — not for segmentation</w:t>
            </w:r>
          </w:p>
        </w:tc>
      </w:tr>
    </w:tbl>
    <w:p>
      <w:pPr>
        <w:spacing w:after="120" w:before="0"/>
        <w:jc w:val="left"/>
      </w:pPr>
      <w:r>
        <w:rPr>
          <w:rFonts w:ascii="Arial" w:cs="Arial" w:eastAsia="Arial" w:hAnsi="Arial"/>
          <w:sz w:val="20"/>
          <w:szCs w:val="20"/>
        </w:rPr>
        <w:t xml:space="preserve"/>
      </w:r>
    </w:p>
    <w:p>
      <w:pPr>
        <w:pStyle w:val="Heading1"/>
        <w:pBdr>
          <w:bottom w:val="single" w:color="C0392B" w:sz="6" w:space="4"/>
        </w:pBdr>
        <w:spacing w:after="160" w:before="320"/>
      </w:pPr>
      <w:r>
        <w:rPr>
          <w:rFonts w:ascii="Arial" w:cs="Arial" w:eastAsia="Arial" w:hAnsi="Arial"/>
          <w:b/>
          <w:bCs/>
          <w:color w:val="C0392B"/>
          <w:sz w:val="28"/>
          <w:szCs w:val="28"/>
        </w:rPr>
        <w:t xml:space="preserve">8. ESCALATION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3680"/>
      </w:tblGrid>
      <w:tr>
        <w:trPr>
          <w:tblHeader/>
        </w:trPr>
        <w:tc>
          <w:tcPr>
            <w:tcW w:type="dxa" w:w="400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Trigger</w:t>
            </w:r>
          </w:p>
        </w:tc>
        <w:tc>
          <w:tcPr>
            <w:tcW w:type="dxa" w:w="240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Escalation To</w:t>
            </w:r>
          </w:p>
        </w:tc>
        <w:tc>
          <w:tcPr>
            <w:tcW w:type="dxa" w:w="368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Deadline</w:t>
            </w:r>
          </w:p>
        </w:tc>
      </w:tr>
      <w:tr>
        <w:tc>
          <w:tcPr>
            <w:tcW w:type="dxa" w:w="40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Any ASIN remains in LLL for 2 consecutive months despite action plan</w:t>
            </w:r>
          </w:p>
        </w:tc>
        <w:tc>
          <w:tcPr>
            <w:tcW w:type="dxa" w:w="24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Bietrick + Sub-leader joint review</w:t>
            </w:r>
          </w:p>
        </w:tc>
        <w:tc>
          <w:tcPr>
            <w:tcW w:type="dxa" w:w="368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Within 3 days of month-1 report</w:t>
            </w:r>
          </w:p>
        </w:tc>
      </w:tr>
      <w:tr>
        <w:tc>
          <w:tcPr>
            <w:tcW w:type="dxa" w:w="40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Any ASIN declines from HHH to LLL in a single month</w:t>
            </w:r>
          </w:p>
        </w:tc>
        <w:tc>
          <w:tcPr>
            <w:tcW w:type="dxa" w:w="24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Bietrick immediately</w:t>
            </w:r>
          </w:p>
        </w:tc>
        <w:tc>
          <w:tcPr>
            <w:tcW w:type="dxa" w:w="368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Same day — investigate root cause</w:t>
            </w:r>
          </w:p>
        </w:tc>
      </w:tr>
      <w:tr>
        <w:tc>
          <w:tcPr>
            <w:tcW w:type="dxa" w:w="40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A PH has &gt;30% of their ASINs in LLL</w:t>
            </w:r>
          </w:p>
        </w:tc>
        <w:tc>
          <w:tcPr>
            <w:tcW w:type="dxa" w:w="24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Sathees (Operations)</w:t>
            </w:r>
          </w:p>
        </w:tc>
        <w:tc>
          <w:tcPr>
            <w:tcW w:type="dxa" w:w="368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Within 1 week — portfolio restructure review</w:t>
            </w:r>
          </w:p>
        </w:tc>
      </w:tr>
      <w:tr>
        <w:tc>
          <w:tcPr>
            <w:tcW w:type="dxa" w:w="40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Benchmark cannot be calculated (fewer than 10 sold ASINs in a category)</w:t>
            </w:r>
          </w:p>
        </w:tc>
        <w:tc>
          <w:tcPr>
            <w:tcW w:type="dxa" w:w="24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Sub-leader to flag</w:t>
            </w:r>
          </w:p>
        </w:tc>
        <w:tc>
          <w:tcPr>
            <w:tcW w:type="dxa" w:w="368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Note in report — manual threshold assignment</w:t>
            </w:r>
          </w:p>
        </w:tc>
      </w:tr>
      <w:tr>
        <w:tc>
          <w:tcPr>
            <w:tcW w:type="dxa" w:w="40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Movement tracking shows &gt;5 ASINs declined for same PH in one month</w:t>
            </w:r>
          </w:p>
        </w:tc>
        <w:tc>
          <w:tcPr>
            <w:tcW w:type="dxa" w:w="24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Bietrick + sub-leader review</w:t>
            </w:r>
          </w:p>
        </w:tc>
        <w:tc>
          <w:tcPr>
            <w:tcW w:type="dxa" w:w="368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Within 48 hours</w:t>
            </w:r>
          </w:p>
        </w:tc>
      </w:tr>
      <w:tr>
        <w:tc>
          <w:tcPr>
            <w:tcW w:type="dxa" w:w="40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PH fails to action flagged ASINs by 7th of the month for 2 months running</w:t>
            </w:r>
          </w:p>
        </w:tc>
        <w:tc>
          <w:tcPr>
            <w:tcW w:type="dxa" w:w="24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Arun (ROI Officer)</w:t>
            </w:r>
          </w:p>
        </w:tc>
        <w:tc>
          <w:tcPr>
            <w:tcW w:type="dxa" w:w="368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Accountability review within 48 hours</w:t>
            </w:r>
          </w:p>
        </w:tc>
      </w:tr>
    </w:tbl>
    <w:p>
      <w:pPr>
        <w:spacing w:after="120" w:before="0"/>
        <w:jc w:val="left"/>
      </w:pPr>
      <w:r>
        <w:rPr>
          <w:rFonts w:ascii="Arial" w:cs="Arial" w:eastAsia="Arial" w:hAnsi="Arial"/>
          <w:sz w:val="20"/>
          <w:szCs w:val="20"/>
        </w:rPr>
        <w:t xml:space="preserve"/>
      </w:r>
    </w:p>
    <w:p>
      <w:pPr>
        <w:pStyle w:val="Heading1"/>
        <w:pBdr>
          <w:bottom w:val="single" w:color="C0392B" w:sz="6" w:space="4"/>
        </w:pBdr>
        <w:spacing w:after="160" w:before="320"/>
      </w:pPr>
      <w:r>
        <w:rPr>
          <w:rFonts w:ascii="Arial" w:cs="Arial" w:eastAsia="Arial" w:hAnsi="Arial"/>
          <w:b/>
          <w:bCs/>
          <w:color w:val="C0392B"/>
          <w:sz w:val="28"/>
          <w:szCs w:val="28"/>
        </w:rPr>
        <w:t xml:space="preserve">9. WHAT THIS PROTOCOL DOES NOT REPLACE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This Protocol Does</w:t>
            </w:r>
          </w:p>
        </w:tc>
        <w:tc>
          <w:tcPr>
            <w:tcW w:type="dxa" w:w="504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This Protocol Does NOT Do</w:t>
            </w:r>
          </w:p>
        </w:tc>
      </w:tr>
      <w:tr>
        <w:tc>
          <w:tcPr>
            <w:tcW w:type="dxa" w:w="504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Classifies every ASIN into a performance segment monthly</w:t>
            </w:r>
          </w:p>
        </w:tc>
        <w:tc>
          <w:tcPr>
            <w:tcW w:type="dxa" w:w="504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Replace the weekly leakage protocol (separate tool)</w:t>
            </w:r>
          </w:p>
        </w:tc>
      </w:tr>
      <w:tr>
        <w:tc>
          <w:tcPr>
            <w:tcW w:type="dxa" w:w="504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Tracks movement between segments month-over-month</w:t>
            </w:r>
          </w:p>
        </w:tc>
        <w:tc>
          <w:tcPr>
            <w:tcW w:type="dxa" w:w="504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Automate PPC pausing or listing changes (manual action required)</w:t>
            </w:r>
          </w:p>
        </w:tc>
      </w:tr>
      <w:tr>
        <w:tc>
          <w:tcPr>
            <w:tcW w:type="dxa" w:w="504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Provides category-specific dynamic benchmarks per PH</w:t>
            </w:r>
          </w:p>
        </w:tc>
        <w:tc>
          <w:tcPr>
            <w:tcW w:type="dxa" w:w="504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Replace BLOS threshold governance</w:t>
            </w:r>
          </w:p>
        </w:tc>
      </w:tr>
      <w:tr>
        <w:tc>
          <w:tcPr>
            <w:tcW w:type="dxa" w:w="504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Shows account name (LEDSone UK / DCVoltage UK) per ASIN</w:t>
            </w:r>
          </w:p>
        </w:tc>
        <w:tc>
          <w:tcPr>
            <w:tcW w:type="dxa" w:w="504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Provide exact profitability or net margin per ASIN</w:t>
            </w:r>
          </w:p>
        </w:tc>
      </w:tr>
      <w:tr>
        <w:tc>
          <w:tcPr>
            <w:tcW w:type="dxa" w:w="504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Gives sub-leaders a structured action plan per segment</w:t>
            </w:r>
          </w:p>
        </w:tc>
        <w:tc>
          <w:tcPr>
            <w:tcW w:type="dxa" w:w="504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Replace actual COGS, fees, or VAT with real figures</w:t>
            </w:r>
          </w:p>
        </w:tc>
      </w:tr>
      <w:tr>
        <w:tc>
          <w:tcPr>
            <w:tcW w:type="dxa" w:w="504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Creates monthly accountability via tick system and progress bar</w:t>
            </w:r>
          </w:p>
        </w:tc>
        <w:tc>
          <w:tcPr>
            <w:tcW w:type="dxa" w:w="504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Detect issues that appear within a single week (use leakage report for that)</w:t>
            </w:r>
          </w:p>
        </w:tc>
      </w:tr>
    </w:tbl>
    <w:p>
      <w:pPr>
        <w:spacing w:after="80" w:before="0"/>
        <w:jc w:val="left"/>
      </w:pPr>
      <w:r>
        <w:rPr>
          <w:rFonts w:ascii="Arial" w:cs="Arial" w:eastAsia="Arial" w:hAnsi="Arial"/>
          <w:sz w:val="20"/>
          <w:szCs w:val="20"/>
        </w:rPr>
        <w:t xml:space="preserve"/>
      </w:r>
    </w:p>
    <w:p>
      <w:pPr>
        <w:spacing w:after="0" w:before="0"/>
        <w:jc w:val="left"/>
      </w:pPr>
      <w:r>
        <w:rPr>
          <w:rFonts w:ascii="Arial" w:cs="Arial" w:eastAsia="Arial" w:hAnsi="Arial"/>
          <w:i/>
          <w:iCs/>
          <w:color w:val="5A6272"/>
          <w:sz w:val="20"/>
          <w:szCs w:val="20"/>
        </w:rPr>
        <w:t xml:space="preserve">When the automated agent pipeline is live and benchmarks can be recalculated automatically, this protocol transitions from a manual Claude-prompt workflow to a fully automated monthly job. Until then, this document defines the exact manual process.</w:t>
      </w:r>
    </w:p>
    <w:p>
      <w:pPr>
        <w:spacing w:after="120" w:before="0"/>
        <w:jc w:val="left"/>
      </w:pPr>
      <w:r>
        <w:rPr>
          <w:rFonts w:ascii="Arial" w:cs="Arial" w:eastAsia="Arial" w:hAnsi="Arial"/>
          <w:sz w:val="20"/>
          <w:szCs w:val="20"/>
        </w:rPr>
        <w:t xml:space="preserve"/>
      </w:r>
    </w:p>
    <w:p>
      <w:pPr>
        <w:pStyle w:val="Heading1"/>
        <w:pBdr>
          <w:bottom w:val="single" w:color="C0392B" w:sz="6" w:space="4"/>
        </w:pBdr>
        <w:spacing w:after="160" w:before="320"/>
      </w:pPr>
      <w:r>
        <w:rPr>
          <w:rFonts w:ascii="Arial" w:cs="Arial" w:eastAsia="Arial" w:hAnsi="Arial"/>
          <w:b/>
          <w:bCs/>
          <w:color w:val="C0392B"/>
          <w:sz w:val="28"/>
          <w:szCs w:val="28"/>
        </w:rPr>
        <w:t xml:space="preserve">10. SIGN-OFF</w:t>
      </w:r>
    </w:p>
    <w:p>
      <w:pPr>
        <w:spacing w:after="120" w:before="0"/>
        <w:jc w:val="left"/>
      </w:pPr>
      <w:r>
        <w:rPr>
          <w:rFonts w:ascii="Arial" w:cs="Arial" w:eastAsia="Arial" w:hAnsi="Arial"/>
          <w:sz w:val="20"/>
          <w:szCs w:val="20"/>
        </w:rPr>
        <w:t xml:space="preserve">This protocol is effective immediately upon receipt. First execution is on the 1st of the next calendar month.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000"/>
        <w:gridCol w:w="1880"/>
      </w:tblGrid>
      <w:tr>
        <w:trPr>
          <w:tblHeader/>
        </w:trPr>
        <w:tc>
          <w:tcPr>
            <w:tcW w:type="dxa" w:w="220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Name</w:t>
            </w:r>
          </w:p>
        </w:tc>
        <w:tc>
          <w:tcPr>
            <w:tcW w:type="dxa" w:w="400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Role</w:t>
            </w:r>
          </w:p>
        </w:tc>
        <w:tc>
          <w:tcPr>
            <w:tcW w:type="dxa" w:w="200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Status</w:t>
            </w:r>
          </w:p>
        </w:tc>
        <w:tc>
          <w:tcPr>
            <w:tcW w:type="dxa" w:w="1880"/>
            <w:tcBorders>
              <w:top w:val="single" w:color="1A1D23" w:sz="4"/>
              <w:left w:val="single" w:color="1A1D23" w:sz="4"/>
              <w:bottom w:val="single" w:color="1A1D23" w:sz="4"/>
              <w:right w:val="single" w:color="1A1D23" w:sz="4"/>
            </w:tcBorders>
            <w:shd w:fill="1A1D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Date</w:t>
            </w:r>
          </w:p>
        </w:tc>
      </w:tr>
      <w:tr>
        <w:tc>
          <w:tcPr>
            <w:tcW w:type="dxa" w:w="22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Bietrick</w:t>
            </w:r>
          </w:p>
        </w:tc>
        <w:tc>
          <w:tcPr>
            <w:tcW w:type="dxa" w:w="40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TL — Protocol Owner &amp; Executor</w:t>
            </w:r>
          </w:p>
        </w:tc>
        <w:tc>
          <w:tcPr>
            <w:tcW w:type="dxa" w:w="20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PENDING</w:t>
            </w:r>
          </w:p>
        </w:tc>
        <w:tc>
          <w:tcPr>
            <w:tcW w:type="dxa" w:w="188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
            </w:r>
          </w:p>
        </w:tc>
      </w:tr>
      <w:tr>
        <w:tc>
          <w:tcPr>
            <w:tcW w:type="dxa" w:w="22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Sathees</w:t>
            </w:r>
          </w:p>
        </w:tc>
        <w:tc>
          <w:tcPr>
            <w:tcW w:type="dxa" w:w="40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Operations — Escalation Receiver</w:t>
            </w:r>
          </w:p>
        </w:tc>
        <w:tc>
          <w:tcPr>
            <w:tcW w:type="dxa" w:w="200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PENDING</w:t>
            </w:r>
          </w:p>
        </w:tc>
        <w:tc>
          <w:tcPr>
            <w:tcW w:type="dxa" w:w="1880"/>
            <w:tcBorders>
              <w:top w:val="single" w:color="E0E3E8" w:sz="2"/>
              <w:left w:val="single" w:color="E0E3E8" w:sz="2"/>
              <w:bottom w:val="single" w:color="E0E3E8" w:sz="2"/>
              <w:right w:val="single" w:color="E0E3E8" w:sz="2"/>
            </w:tcBorders>
            <w:shd w:fill="FAFBFC" w:val="clear"/>
            <w:tcMar>
              <w:top w:type="dxa" w:w="80"/>
              <w:left w:type="dxa" w:w="120"/>
              <w:bottom w:type="dxa" w:w="80"/>
              <w:right w:type="dxa" w:w="120"/>
            </w:tcMar>
            <w:vAlign w:val="top"/>
          </w:tcPr>
          <w:p>
            <w:pPr>
              <w:spacing w:after="0" w:before="0"/>
              <w:jc w:val="left"/>
            </w:pPr>
            <w:r>
              <w:rPr>
                <w:rFonts w:ascii="Arial" w:cs="Arial" w:eastAsia="Arial" w:hAnsi="Arial"/>
                <w:color w:val="5A6272"/>
                <w:sz w:val="18"/>
                <w:szCs w:val="18"/>
              </w:rPr>
              <w:t xml:space="preserve"/>
            </w:r>
          </w:p>
        </w:tc>
      </w:tr>
      <w:tr>
        <w:tc>
          <w:tcPr>
            <w:tcW w:type="dxa" w:w="22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Arun</w:t>
            </w:r>
          </w:p>
        </w:tc>
        <w:tc>
          <w:tcPr>
            <w:tcW w:type="dxa" w:w="40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ROI Officer — Non-Compliance Escalation</w:t>
            </w:r>
          </w:p>
        </w:tc>
        <w:tc>
          <w:tcPr>
            <w:tcW w:type="dxa" w:w="200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PENDING</w:t>
            </w:r>
          </w:p>
        </w:tc>
        <w:tc>
          <w:tcPr>
            <w:tcW w:type="dxa" w:w="1880"/>
            <w:tcBorders>
              <w:top w:val="single" w:color="E0E3E8" w:sz="2"/>
              <w:left w:val="single" w:color="E0E3E8" w:sz="2"/>
              <w:bottom w:val="single" w:color="E0E3E8" w:sz="2"/>
              <w:right w:val="single" w:color="E0E3E8"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A1D23"/>
                <w:sz w:val="18"/>
                <w:szCs w:val="18"/>
              </w:rPr>
              <w:t xml:space="preserve"/>
            </w:r>
          </w:p>
        </w:tc>
      </w:tr>
    </w:tbl>
    <w:p>
      <w:pPr>
        <w:spacing w:after="120" w:before="0"/>
        <w:jc w:val="left"/>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0392B" w:sz="16"/>
              <w:bottom w:val="none" w:color="FFFFFF" w:sz="0"/>
              <w:right w:val="none" w:color="FFFFFF" w:sz="0"/>
            </w:tcBorders>
            <w:shd w:fill="FDF0EF" w:val="clear"/>
            <w:tcMar>
              <w:top w:type="dxa" w:w="100"/>
              <w:left w:type="dxa" w:w="160"/>
              <w:bottom w:type="dxa" w:w="100"/>
              <w:right w:type="dxa" w:w="120"/>
            </w:tcMar>
            <w:vAlign w:val="top"/>
          </w:tcPr>
          <w:p>
            <w:pPr>
              <w:spacing w:after="0" w:before="0"/>
              <w:jc w:val="left"/>
            </w:pPr>
            <w:r>
              <w:rPr>
                <w:rFonts w:ascii="Arial" w:cs="Arial" w:eastAsia="Arial" w:hAnsi="Arial"/>
                <w:color w:val="C0392B"/>
                <w:sz w:val="20"/>
                <w:szCs w:val="20"/>
              </w:rPr>
              <w:t xml:space="preserve">First execution: 1st of next month. Every PH's ASINs will be segmented. Sub-leaders must action all flagged ASINs by the 7th. No exceptions.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single" w:color="E0E3E8" w:sz="4"/>
            <w:left w:val="none" w:color="FFFFFF" w:sz="0"/>
            <w:bottom w:val="none" w:color="FFFFFF" w:sz="0"/>
            <w:right w:val="none" w:color="FFFFFF" w:sz="0"/>
          </w:tcBorders>
          <w:tcMar>
            <w:top w:type="dxa" w:w="60"/>
            <w:left w:type="dxa" w:w="0"/>
            <w:bottom w:type="dxa" w:w="0"/>
            <w:right w:type="dxa" w:w="0"/>
          </w:tcMar>
          <w:vAlign w:val="top"/>
        </w:tcPr>
        <w:p>
          <w:pPr>
            <w:spacing w:after="0" w:before="0"/>
            <w:jc w:val="left"/>
          </w:pPr>
          <w:r>
            <w:rPr>
              <w:rFonts w:ascii="Arial" w:cs="Arial" w:eastAsia="Arial" w:hAnsi="Arial"/>
              <w:color w:val="9AA0AD"/>
              <w:sz w:val="16"/>
              <w:szCs w:val="16"/>
            </w:rPr>
            <w:t xml:space="preserve">Bietrick TL · PH ASIN Segmentation Protocol v1.0 · June 2026</w:t>
          </w:r>
        </w:p>
      </w:tc>
      <w:tc>
        <w:tcPr>
          <w:tcW w:type="dxa" w:w="3080"/>
          <w:tcBorders>
            <w:top w:val="single" w:color="E0E3E8" w:sz="4"/>
            <w:left w:val="none" w:color="FFFFFF" w:sz="0"/>
            <w:bottom w:val="none" w:color="FFFFFF" w:sz="0"/>
            <w:right w:val="none" w:color="FFFFFF" w:sz="0"/>
          </w:tcBorders>
          <w:tcMar>
            <w:top w:type="dxa" w:w="60"/>
            <w:left w:type="dxa" w:w="0"/>
            <w:bottom w:type="dxa" w:w="0"/>
            <w:right w:type="dxa" w:w="0"/>
          </w:tcMar>
          <w:vAlign w:val="top"/>
        </w:tcPr>
        <w:p>
          <w:pPr>
            <w:spacing w:after="0" w:before="0"/>
            <w:jc w:val="right"/>
          </w:pPr>
          <w:r>
            <w:rPr>
              <w:rFonts w:ascii="Arial" w:cs="Arial" w:eastAsia="Arial" w:hAnsi="Arial"/>
              <w:color w:val="9AA0AD"/>
              <w:sz w:val="16"/>
              <w:szCs w:val="16"/>
            </w:rPr>
            <w:t xml:space="preserve">Monthly — Every 1st</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single" w:color="C0392B" w:sz="8"/>
            <w:right w:val="none" w:color="FFFFFF" w:sz="0"/>
          </w:tcBorders>
          <w:tcMar>
            <w:top w:type="dxa" w:w="60"/>
            <w:left w:type="dxa" w:w="0"/>
            <w:bottom w:type="dxa" w:w="60"/>
            <w:right w:type="dxa" w:w="0"/>
          </w:tcMar>
          <w:vAlign w:val="top"/>
        </w:tcPr>
        <w:p>
          <w:pPr>
            <w:spacing w:after="0" w:before="0"/>
            <w:jc w:val="left"/>
          </w:pPr>
          <w:r>
            <w:rPr>
              <w:rFonts w:ascii="Arial" w:cs="Arial" w:eastAsia="Arial" w:hAnsi="Arial"/>
              <w:color w:val="5A6272"/>
              <w:sz w:val="16"/>
              <w:szCs w:val="16"/>
            </w:rPr>
            <w:t xml:space="preserve">CONFIDENTIAL  |  LEDs One  |  PH ASIN Segmentation Protocol v1.0</w:t>
          </w:r>
        </w:p>
      </w:tc>
      <w:tc>
        <w:tcPr>
          <w:tcW w:type="dxa" w:w="4080"/>
          <w:tcBorders>
            <w:top w:val="none" w:color="FFFFFF" w:sz="0"/>
            <w:left w:val="none" w:color="FFFFFF" w:sz="0"/>
            <w:bottom w:val="single" w:color="C0392B" w:sz="8"/>
            <w:right w:val="none" w:color="FFFFFF" w:sz="0"/>
          </w:tcBorders>
          <w:tcMar>
            <w:top w:type="dxa" w:w="60"/>
            <w:left w:type="dxa" w:w="0"/>
            <w:bottom w:type="dxa" w:w="60"/>
            <w:right w:type="dxa" w:w="0"/>
          </w:tcMar>
          <w:vAlign w:val="top"/>
        </w:tcPr>
        <w:p>
          <w:pPr>
            <w:spacing w:after="0" w:before="0"/>
            <w:jc w:val="right"/>
          </w:pPr>
          <w:r>
            <w:rPr>
              <w:rFonts w:ascii="Arial" w:cs="Arial" w:eastAsia="Arial" w:hAnsi="Arial"/>
              <w:color w:val="5A6272"/>
              <w:sz w:val="16"/>
              <w:szCs w:val="16"/>
            </w:rPr>
            <w:t xml:space="preserve">ASSIGNED TO: BIETRICK (TL) + SUB-LEADERS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C0392B"/>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1D23"/>
      <w:sz w:val="24"/>
      <w:szCs w:val="24"/>
    </w:rPr>
  </w:style>
  <w:style w:type="paragraph" w:styleId="Heading3">
    <w:name w:val="Heading 3"/>
    <w:basedOn w:val="Normal"/>
    <w:next w:val="Normal"/>
    <w:qFormat/>
    <w:pPr>
      <w:spacing w:after="80" w:before="160"/>
      <w:outlineLvl w:val="2"/>
    </w:pPr>
    <w:rPr>
      <w:rFonts w:ascii="Arial" w:cs="Arial" w:eastAsia="Arial" w:hAnsi="Arial"/>
      <w:b/>
      <w:bCs/>
      <w:color w:val="5A6272"/>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2026-06-23T04:02:15.406Z</dcterms:created>
  <dcterms:modified xsi:type="dcterms:W3CDTF">2026-06-23T04:02:15.419Z</dcterms:modified>
</cp:coreProperties>
</file>

<file path=docProps/custom.xml><?xml version="1.0" encoding="utf-8"?>
<Properties xmlns="http://schemas.openxmlformats.org/officeDocument/2006/custom-properties" xmlns:vt="http://schemas.openxmlformats.org/officeDocument/2006/docPropsVTypes"/>
</file>