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19A1" w14:textId="10F8CF49" w:rsidR="00CA1A16" w:rsidRDefault="005A55ED">
      <w:pPr>
        <w:spacing w:after="200"/>
        <w:jc w:val="center"/>
      </w:pPr>
      <w:r>
        <w:rPr>
          <w:b/>
          <w:color w:val="1F4E79"/>
          <w:sz w:val="44"/>
        </w:rPr>
        <w:t>Omnichannel CX - Production Scope - BFSI</w:t>
      </w:r>
    </w:p>
    <w:p w14:paraId="2E79E1C6" w14:textId="77777777" w:rsidR="00CA1A16" w:rsidRDefault="005A55ED">
      <w:pPr>
        <w:pStyle w:val="Heading2"/>
      </w:pPr>
      <w:bookmarkStart w:id="0" w:name="_Toc239277648"/>
      <w:r>
        <w:t>1. Overview</w:t>
      </w:r>
      <w:bookmarkEnd w:id="0"/>
    </w:p>
    <w:p w14:paraId="14D7289F" w14:textId="0115BADC" w:rsidR="00CA1A16" w:rsidRDefault="005A55ED">
      <w:r>
        <w:t>Our Omnichannel CX accelerator is AI-led customer support platform built for the BFSI domain. It demonstrates the capabilities that matter most in regulated customer service: a single view of the customer across every channel, continuity of a case as it moves between channels and over time, answers grounded strictly in approved knowledge and the customer's own records, and a controlled decision about when a human must take over.</w:t>
      </w:r>
    </w:p>
    <w:p w14:paraId="4CD4EDA2" w14:textId="77777777" w:rsidR="00CA1A16" w:rsidRDefault="00CA1A16">
      <w:pPr>
        <w:pBdr>
          <w:bottom w:val="single" w:sz="6" w:space="0" w:color="BFBFBF"/>
        </w:pBdr>
        <w:spacing w:before="40" w:after="40"/>
      </w:pPr>
    </w:p>
    <w:p w14:paraId="1FAD2F5A" w14:textId="77777777" w:rsidR="00CA1A16" w:rsidRDefault="005A55ED">
      <w:pPr>
        <w:pStyle w:val="Heading2"/>
      </w:pPr>
      <w:bookmarkStart w:id="1" w:name="_Toc239277649"/>
      <w:r>
        <w:t>2. What the accelerator already demonstrates</w:t>
      </w:r>
      <w:bookmarkEnd w:id="1"/>
    </w:p>
    <w:p w14:paraId="51FE5ED2" w14:textId="77777777" w:rsidR="00CA1A16" w:rsidRDefault="005A55ED">
      <w:r>
        <w:t>These are proven in a working system, not design intent.</w:t>
      </w:r>
    </w:p>
    <w:tbl>
      <w:tblPr>
        <w:tblStyle w:val="TableGrid"/>
        <w:tblW w:w="10261" w:type="dxa"/>
        <w:tblLook w:val="04A0" w:firstRow="1" w:lastRow="0" w:firstColumn="1" w:lastColumn="0" w:noHBand="0" w:noVBand="1"/>
      </w:tblPr>
      <w:tblGrid>
        <w:gridCol w:w="4252"/>
        <w:gridCol w:w="6009"/>
      </w:tblGrid>
      <w:tr w:rsidR="00CA1A16" w14:paraId="42E28648" w14:textId="77777777" w:rsidTr="00125681">
        <w:tc>
          <w:tcPr>
            <w:tcW w:w="4252" w:type="dxa"/>
            <w:shd w:val="clear" w:color="auto" w:fill="DCE6F1"/>
          </w:tcPr>
          <w:p w14:paraId="268870F0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w="6009" w:type="dxa"/>
            <w:shd w:val="clear" w:color="auto" w:fill="DCE6F1"/>
          </w:tcPr>
          <w:p w14:paraId="5B616813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What it does</w:t>
            </w:r>
          </w:p>
        </w:tc>
      </w:tr>
      <w:tr w:rsidR="00CA1A16" w14:paraId="2300508A" w14:textId="77777777" w:rsidTr="00125681">
        <w:tc>
          <w:tcPr>
            <w:tcW w:w="4252" w:type="dxa"/>
          </w:tcPr>
          <w:p w14:paraId="074648C8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Omnichannel identity</w:t>
            </w:r>
          </w:p>
        </w:tc>
        <w:tc>
          <w:tcPr>
            <w:tcW w:w="6009" w:type="dxa"/>
          </w:tcPr>
          <w:p w14:paraId="2E62E538" w14:textId="4F286E20" w:rsidR="00CA1A16" w:rsidRDefault="005A55ED">
            <w:pPr>
              <w:spacing w:before="20" w:after="20"/>
            </w:pPr>
            <w:r>
              <w:rPr>
                <w:sz w:val="17"/>
              </w:rPr>
              <w:t xml:space="preserve">A customer is recognised as the same person whether they arrive by </w:t>
            </w:r>
            <w:r w:rsidR="00252262">
              <w:rPr>
                <w:sz w:val="17"/>
              </w:rPr>
              <w:t>any channel</w:t>
            </w:r>
            <w:r>
              <w:rPr>
                <w:sz w:val="17"/>
              </w:rPr>
              <w:t xml:space="preserve">. </w:t>
            </w:r>
          </w:p>
        </w:tc>
      </w:tr>
      <w:tr w:rsidR="00CA1A16" w14:paraId="6EDCFC96" w14:textId="77777777" w:rsidTr="00125681">
        <w:tc>
          <w:tcPr>
            <w:tcW w:w="4252" w:type="dxa"/>
          </w:tcPr>
          <w:p w14:paraId="5E1E84A4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Case continuity</w:t>
            </w:r>
          </w:p>
        </w:tc>
        <w:tc>
          <w:tcPr>
            <w:tcW w:w="6009" w:type="dxa"/>
          </w:tcPr>
          <w:p w14:paraId="53D35E7E" w14:textId="0F1289B6" w:rsidR="00CA1A16" w:rsidRDefault="005A55ED">
            <w:pPr>
              <w:spacing w:before="20" w:after="20"/>
            </w:pPr>
            <w:r>
              <w:rPr>
                <w:sz w:val="17"/>
              </w:rPr>
              <w:t xml:space="preserve">Messages on different channels, </w:t>
            </w:r>
            <w:r w:rsidR="00E438BB">
              <w:rPr>
                <w:sz w:val="17"/>
              </w:rPr>
              <w:t>same</w:t>
            </w:r>
            <w:r w:rsidR="00863AC6">
              <w:rPr>
                <w:sz w:val="17"/>
              </w:rPr>
              <w:t xml:space="preserve"> issue</w:t>
            </w:r>
            <w:r w:rsidR="00E438BB">
              <w:rPr>
                <w:sz w:val="17"/>
              </w:rPr>
              <w:t xml:space="preserve">, </w:t>
            </w:r>
            <w:r>
              <w:rPr>
                <w:sz w:val="17"/>
              </w:rPr>
              <w:t xml:space="preserve">are grouped into the same case. An LLM referee decides case identity </w:t>
            </w:r>
          </w:p>
        </w:tc>
      </w:tr>
      <w:tr w:rsidR="00CA1A16" w14:paraId="047DD468" w14:textId="77777777" w:rsidTr="00125681">
        <w:tc>
          <w:tcPr>
            <w:tcW w:w="4252" w:type="dxa"/>
          </w:tcPr>
          <w:p w14:paraId="2ED2E727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Knowledge-graph context</w:t>
            </w:r>
          </w:p>
        </w:tc>
        <w:tc>
          <w:tcPr>
            <w:tcW w:w="6009" w:type="dxa"/>
          </w:tcPr>
          <w:p w14:paraId="6BFA82EE" w14:textId="10F0A680" w:rsidR="00CA1A16" w:rsidRDefault="005A55ED">
            <w:pPr>
              <w:spacing w:before="20" w:after="20"/>
            </w:pPr>
            <w:r>
              <w:rPr>
                <w:sz w:val="17"/>
              </w:rPr>
              <w:t>Customer</w:t>
            </w:r>
            <w:r w:rsidR="00863AC6">
              <w:rPr>
                <w:sz w:val="17"/>
              </w:rPr>
              <w:t xml:space="preserve"> profile,</w:t>
            </w:r>
            <w:r>
              <w:rPr>
                <w:sz w:val="17"/>
              </w:rPr>
              <w:t xml:space="preserve"> holdings, </w:t>
            </w:r>
            <w:r w:rsidR="00863AC6">
              <w:rPr>
                <w:sz w:val="17"/>
              </w:rPr>
              <w:t>tickets, resolutions</w:t>
            </w:r>
            <w:r>
              <w:rPr>
                <w:sz w:val="17"/>
              </w:rPr>
              <w:t xml:space="preserve"> are </w:t>
            </w:r>
            <w:r w:rsidR="004805B4">
              <w:rPr>
                <w:sz w:val="17"/>
              </w:rPr>
              <w:t>connected</w:t>
            </w:r>
            <w:r>
              <w:rPr>
                <w:sz w:val="17"/>
              </w:rPr>
              <w:t xml:space="preserve"> in a </w:t>
            </w:r>
            <w:r w:rsidR="00DE55AC">
              <w:rPr>
                <w:sz w:val="17"/>
              </w:rPr>
              <w:t>graph</w:t>
            </w:r>
          </w:p>
        </w:tc>
      </w:tr>
      <w:tr w:rsidR="00CA1A16" w14:paraId="48425AB4" w14:textId="77777777" w:rsidTr="00125681">
        <w:tc>
          <w:tcPr>
            <w:tcW w:w="4252" w:type="dxa"/>
          </w:tcPr>
          <w:p w14:paraId="6A4A5BA4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Grounded answering</w:t>
            </w:r>
          </w:p>
        </w:tc>
        <w:tc>
          <w:tcPr>
            <w:tcW w:w="6009" w:type="dxa"/>
          </w:tcPr>
          <w:p w14:paraId="41AA95D1" w14:textId="6766F74B" w:rsidR="00CA1A16" w:rsidRDefault="005A55ED">
            <w:pPr>
              <w:spacing w:before="20" w:after="20"/>
            </w:pPr>
            <w:r>
              <w:rPr>
                <w:sz w:val="17"/>
              </w:rPr>
              <w:t>Answers are generated only from approved knowledge-</w:t>
            </w:r>
            <w:proofErr w:type="gramStart"/>
            <w:r>
              <w:rPr>
                <w:sz w:val="17"/>
              </w:rPr>
              <w:t>base</w:t>
            </w:r>
            <w:proofErr w:type="gramEnd"/>
            <w:r>
              <w:rPr>
                <w:sz w:val="17"/>
              </w:rPr>
              <w:t xml:space="preserve"> content and the </w:t>
            </w:r>
            <w:r w:rsidR="00392721">
              <w:rPr>
                <w:sz w:val="17"/>
              </w:rPr>
              <w:t>graph</w:t>
            </w:r>
            <w:r>
              <w:rPr>
                <w:sz w:val="17"/>
              </w:rPr>
              <w:t>. The system states what it does not know rather than inventing</w:t>
            </w:r>
          </w:p>
        </w:tc>
      </w:tr>
      <w:tr w:rsidR="00CA1A16" w14:paraId="66702124" w14:textId="77777777" w:rsidTr="00125681">
        <w:tc>
          <w:tcPr>
            <w:tcW w:w="4252" w:type="dxa"/>
          </w:tcPr>
          <w:p w14:paraId="349E74D2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Intelligent triage</w:t>
            </w:r>
          </w:p>
        </w:tc>
        <w:tc>
          <w:tcPr>
            <w:tcW w:w="6009" w:type="dxa"/>
          </w:tcPr>
          <w:p w14:paraId="3DF4766E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Every message is classified for intent, urgency, sentiment, language and confidence, and routed accordingly</w:t>
            </w:r>
          </w:p>
        </w:tc>
      </w:tr>
      <w:tr w:rsidR="00CA1A16" w14:paraId="1793641E" w14:textId="77777777" w:rsidTr="00125681">
        <w:tc>
          <w:tcPr>
            <w:tcW w:w="4252" w:type="dxa"/>
          </w:tcPr>
          <w:p w14:paraId="76B45158" w14:textId="7D48C542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Human-in-the-loop</w:t>
            </w:r>
            <w:r w:rsidR="0005657C">
              <w:rPr>
                <w:b/>
                <w:sz w:val="17"/>
              </w:rPr>
              <w:t xml:space="preserve"> escalation</w:t>
            </w:r>
          </w:p>
        </w:tc>
        <w:tc>
          <w:tcPr>
            <w:tcW w:w="6009" w:type="dxa"/>
          </w:tcPr>
          <w:p w14:paraId="7EA1930D" w14:textId="7C94BCA6" w:rsidR="00CA1A16" w:rsidRDefault="005A55ED">
            <w:pPr>
              <w:spacing w:before="20" w:after="20"/>
            </w:pPr>
            <w:r>
              <w:rPr>
                <w:sz w:val="17"/>
              </w:rPr>
              <w:t xml:space="preserve">Replies that need a </w:t>
            </w:r>
            <w:r w:rsidR="003E1B3E">
              <w:rPr>
                <w:sz w:val="17"/>
              </w:rPr>
              <w:t>human</w:t>
            </w:r>
            <w:r>
              <w:rPr>
                <w:sz w:val="17"/>
              </w:rPr>
              <w:t xml:space="preserve"> are held as editable drafts rather than </w:t>
            </w:r>
            <w:r w:rsidR="003E1B3E">
              <w:rPr>
                <w:sz w:val="17"/>
              </w:rPr>
              <w:t>auto sent</w:t>
            </w:r>
            <w:r>
              <w:rPr>
                <w:sz w:val="17"/>
              </w:rPr>
              <w:t xml:space="preserve">. </w:t>
            </w:r>
            <w:r w:rsidR="001C013D">
              <w:rPr>
                <w:sz w:val="17"/>
              </w:rPr>
              <w:t xml:space="preserve">An LLM referee </w:t>
            </w:r>
            <w:r w:rsidR="001C013D">
              <w:rPr>
                <w:sz w:val="17"/>
              </w:rPr>
              <w:t>&amp; rule-based decisions.</w:t>
            </w:r>
          </w:p>
        </w:tc>
      </w:tr>
      <w:tr w:rsidR="00CA1A16" w14:paraId="53772AB2" w14:textId="77777777" w:rsidTr="00125681">
        <w:tc>
          <w:tcPr>
            <w:tcW w:w="4252" w:type="dxa"/>
          </w:tcPr>
          <w:p w14:paraId="0C749942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Multilingual</w:t>
            </w:r>
          </w:p>
        </w:tc>
        <w:tc>
          <w:tcPr>
            <w:tcW w:w="6009" w:type="dxa"/>
          </w:tcPr>
          <w:p w14:paraId="702841F4" w14:textId="59E535CB" w:rsidR="00CA1A16" w:rsidRDefault="007F712E">
            <w:pPr>
              <w:spacing w:before="20" w:after="20"/>
            </w:pPr>
            <w:r>
              <w:rPr>
                <w:sz w:val="17"/>
              </w:rPr>
              <w:t xml:space="preserve">Detects &amp; replies in </w:t>
            </w:r>
            <w:r w:rsidR="005A55ED">
              <w:rPr>
                <w:sz w:val="17"/>
              </w:rPr>
              <w:t>customer's language</w:t>
            </w:r>
          </w:p>
        </w:tc>
      </w:tr>
      <w:tr w:rsidR="00CA1A16" w14:paraId="601B2231" w14:textId="77777777" w:rsidTr="00125681">
        <w:tc>
          <w:tcPr>
            <w:tcW w:w="4252" w:type="dxa"/>
          </w:tcPr>
          <w:p w14:paraId="1DADCEA6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Agent assist</w:t>
            </w:r>
          </w:p>
        </w:tc>
        <w:tc>
          <w:tcPr>
            <w:tcW w:w="6009" w:type="dxa"/>
          </w:tcPr>
          <w:p w14:paraId="2FDD83EF" w14:textId="263BDE39" w:rsidR="00CA1A16" w:rsidRDefault="001324B4">
            <w:pPr>
              <w:spacing w:before="20" w:after="20"/>
            </w:pPr>
            <w:r>
              <w:rPr>
                <w:sz w:val="17"/>
              </w:rPr>
              <w:t>Summarized customer profile, l</w:t>
            </w:r>
            <w:r w:rsidR="005A55ED">
              <w:rPr>
                <w:sz w:val="17"/>
              </w:rPr>
              <w:t>ive case summary, next-best-action recommendations are surfaced to the human agent</w:t>
            </w:r>
          </w:p>
        </w:tc>
      </w:tr>
      <w:tr w:rsidR="00CA1A16" w14:paraId="2FECBEC3" w14:textId="77777777" w:rsidTr="00125681">
        <w:tc>
          <w:tcPr>
            <w:tcW w:w="4252" w:type="dxa"/>
          </w:tcPr>
          <w:p w14:paraId="0BFB9EC0" w14:textId="7BC2CD62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Cross-sell</w:t>
            </w:r>
            <w:r w:rsidR="001324B4">
              <w:rPr>
                <w:b/>
                <w:sz w:val="17"/>
              </w:rPr>
              <w:t xml:space="preserve"> / upsell</w:t>
            </w:r>
            <w:r>
              <w:rPr>
                <w:b/>
                <w:sz w:val="17"/>
              </w:rPr>
              <w:t xml:space="preserve"> intelligence</w:t>
            </w:r>
          </w:p>
        </w:tc>
        <w:tc>
          <w:tcPr>
            <w:tcW w:w="6009" w:type="dxa"/>
          </w:tcPr>
          <w:p w14:paraId="4F05E345" w14:textId="4A07ACC6" w:rsidR="00CA1A16" w:rsidRDefault="005A55ED">
            <w:pPr>
              <w:spacing w:before="20" w:after="20"/>
            </w:pPr>
            <w:r>
              <w:rPr>
                <w:sz w:val="17"/>
              </w:rPr>
              <w:t xml:space="preserve">Contextual product opportunities </w:t>
            </w:r>
            <w:r w:rsidR="00155B78">
              <w:rPr>
                <w:sz w:val="17"/>
              </w:rPr>
              <w:t xml:space="preserve">are shown, </w:t>
            </w:r>
            <w:r>
              <w:rPr>
                <w:sz w:val="17"/>
              </w:rPr>
              <w:t>gated on customer sentiment</w:t>
            </w:r>
          </w:p>
        </w:tc>
      </w:tr>
      <w:tr w:rsidR="00CA1A16" w14:paraId="5B1D50F9" w14:textId="77777777" w:rsidTr="00125681">
        <w:tc>
          <w:tcPr>
            <w:tcW w:w="4252" w:type="dxa"/>
          </w:tcPr>
          <w:p w14:paraId="285EF983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Full traceability</w:t>
            </w:r>
          </w:p>
        </w:tc>
        <w:tc>
          <w:tcPr>
            <w:tcW w:w="6009" w:type="dxa"/>
          </w:tcPr>
          <w:p w14:paraId="5E96D2AE" w14:textId="690BECC0" w:rsidR="00CA1A16" w:rsidRDefault="005A55ED">
            <w:pPr>
              <w:spacing w:before="20" w:after="20"/>
            </w:pPr>
            <w:r>
              <w:rPr>
                <w:sz w:val="17"/>
              </w:rPr>
              <w:t>Every AI decision, retrieval and model call is recorded and inspectable</w:t>
            </w:r>
          </w:p>
        </w:tc>
      </w:tr>
      <w:tr w:rsidR="00CA1A16" w14:paraId="619CDD02" w14:textId="77777777" w:rsidTr="00125681">
        <w:tc>
          <w:tcPr>
            <w:tcW w:w="4252" w:type="dxa"/>
          </w:tcPr>
          <w:p w14:paraId="0EB852A7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PII protection</w:t>
            </w:r>
          </w:p>
        </w:tc>
        <w:tc>
          <w:tcPr>
            <w:tcW w:w="6009" w:type="dxa"/>
          </w:tcPr>
          <w:p w14:paraId="50477D40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Personal data is masked before any text is sent to an external model provider</w:t>
            </w:r>
          </w:p>
        </w:tc>
      </w:tr>
    </w:tbl>
    <w:p w14:paraId="59D790FB" w14:textId="77777777" w:rsidR="00CA1A16" w:rsidRDefault="00CA1A16">
      <w:pPr>
        <w:spacing w:after="60"/>
      </w:pPr>
    </w:p>
    <w:p w14:paraId="3DE1E5AB" w14:textId="77777777" w:rsidR="00CA1A16" w:rsidRDefault="00CA1A16">
      <w:pPr>
        <w:pBdr>
          <w:bottom w:val="single" w:sz="6" w:space="0" w:color="BFBFBF"/>
        </w:pBdr>
        <w:spacing w:before="40" w:after="40"/>
      </w:pPr>
    </w:p>
    <w:p w14:paraId="1E34ADF6" w14:textId="0B22A9DE" w:rsidR="00CA1A16" w:rsidRDefault="005A55ED">
      <w:pPr>
        <w:pStyle w:val="Heading2"/>
      </w:pPr>
      <w:bookmarkStart w:id="2" w:name="_Toc239277650"/>
      <w:r>
        <w:t xml:space="preserve">3. </w:t>
      </w:r>
      <w:r w:rsidR="00FB63F6">
        <w:t xml:space="preserve">Customer Experience </w:t>
      </w:r>
      <w:r>
        <w:t>in production</w:t>
      </w:r>
      <w:bookmarkEnd w:id="2"/>
    </w:p>
    <w:p w14:paraId="66026BDD" w14:textId="77777777" w:rsidR="00CA1A16" w:rsidRDefault="005A55ED">
      <w:pPr>
        <w:pStyle w:val="Heading3"/>
      </w:pPr>
      <w:r>
        <w:t>3.1 Identity, authentication and entitlement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A1A16" w14:paraId="7AD95700" w14:textId="77777777" w:rsidTr="00B95D4E">
        <w:tc>
          <w:tcPr>
            <w:tcW w:w="3404" w:type="dxa"/>
            <w:shd w:val="clear" w:color="auto" w:fill="DCE6F1"/>
          </w:tcPr>
          <w:p w14:paraId="05F0F1A7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w="3405" w:type="dxa"/>
            <w:shd w:val="clear" w:color="auto" w:fill="DCE6F1"/>
          </w:tcPr>
          <w:p w14:paraId="07734A85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Accelerator demonstrates</w:t>
            </w:r>
          </w:p>
        </w:tc>
        <w:tc>
          <w:tcPr>
            <w:tcW w:w="3405" w:type="dxa"/>
            <w:shd w:val="clear" w:color="auto" w:fill="FFC000"/>
          </w:tcPr>
          <w:p w14:paraId="6CFE824B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Production scope</w:t>
            </w:r>
          </w:p>
        </w:tc>
      </w:tr>
      <w:tr w:rsidR="00CA1A16" w14:paraId="460C9A45" w14:textId="77777777" w:rsidTr="00754B6F">
        <w:tc>
          <w:tcPr>
            <w:tcW w:w="3404" w:type="dxa"/>
          </w:tcPr>
          <w:p w14:paraId="396F3CD0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Verified vs unverified contact</w:t>
            </w:r>
          </w:p>
        </w:tc>
        <w:tc>
          <w:tcPr>
            <w:tcW w:w="3405" w:type="dxa"/>
          </w:tcPr>
          <w:p w14:paraId="7B7CCCFA" w14:textId="5A67C336" w:rsidR="00CA1A16" w:rsidRDefault="00553416">
            <w:pPr>
              <w:spacing w:before="20" w:after="20"/>
            </w:pPr>
            <w:r>
              <w:rPr>
                <w:sz w:val="17"/>
              </w:rPr>
              <w:t>Phone no. &amp; email id to verify</w:t>
            </w:r>
            <w:r>
              <w:rPr>
                <w:sz w:val="17"/>
              </w:rPr>
              <w:br/>
            </w:r>
            <w:proofErr w:type="spellStart"/>
            <w:r w:rsidR="005A55ED">
              <w:rPr>
                <w:sz w:val="17"/>
              </w:rPr>
              <w:t>Unrecognised</w:t>
            </w:r>
            <w:proofErr w:type="spellEnd"/>
            <w:r w:rsidR="005A55ED">
              <w:rPr>
                <w:sz w:val="17"/>
              </w:rPr>
              <w:t xml:space="preserve"> contacts are handled safely </w:t>
            </w:r>
          </w:p>
        </w:tc>
        <w:tc>
          <w:tcPr>
            <w:tcW w:w="3405" w:type="dxa"/>
          </w:tcPr>
          <w:p w14:paraId="7DD095B7" w14:textId="12273EFF" w:rsidR="00CA1A16" w:rsidRDefault="00553416">
            <w:pPr>
              <w:spacing w:before="20" w:after="20"/>
            </w:pPr>
            <w:r>
              <w:rPr>
                <w:sz w:val="17"/>
              </w:rPr>
              <w:t xml:space="preserve">Core banking CIF </w:t>
            </w:r>
            <w:proofErr w:type="gramStart"/>
            <w:r>
              <w:rPr>
                <w:sz w:val="17"/>
              </w:rPr>
              <w:t>as</w:t>
            </w:r>
            <w:proofErr w:type="gramEnd"/>
            <w:r>
              <w:rPr>
                <w:sz w:val="17"/>
              </w:rPr>
              <w:t xml:space="preserve"> the system of authority</w:t>
            </w:r>
            <w:r>
              <w:rPr>
                <w:sz w:val="17"/>
              </w:rPr>
              <w:t xml:space="preserve">. </w:t>
            </w:r>
            <w:r w:rsidR="005A55ED">
              <w:rPr>
                <w:sz w:val="17"/>
              </w:rPr>
              <w:t xml:space="preserve">Defined journeys for prospects and </w:t>
            </w:r>
            <w:proofErr w:type="spellStart"/>
            <w:r w:rsidR="005A55ED">
              <w:rPr>
                <w:sz w:val="17"/>
              </w:rPr>
              <w:t>unrecognised</w:t>
            </w:r>
            <w:proofErr w:type="spellEnd"/>
            <w:r w:rsidR="005A55ED">
              <w:rPr>
                <w:sz w:val="17"/>
              </w:rPr>
              <w:t xml:space="preserve"> contacts</w:t>
            </w:r>
          </w:p>
        </w:tc>
      </w:tr>
      <w:tr w:rsidR="00CA1A16" w14:paraId="2FD4C981" w14:textId="77777777" w:rsidTr="00754B6F">
        <w:tc>
          <w:tcPr>
            <w:tcW w:w="3404" w:type="dxa"/>
          </w:tcPr>
          <w:p w14:paraId="6C872E98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Authentication</w:t>
            </w:r>
          </w:p>
        </w:tc>
        <w:tc>
          <w:tcPr>
            <w:tcW w:w="3405" w:type="dxa"/>
          </w:tcPr>
          <w:p w14:paraId="19135BC8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Authenticated portal access</w:t>
            </w:r>
          </w:p>
        </w:tc>
        <w:tc>
          <w:tcPr>
            <w:tcW w:w="3405" w:type="dxa"/>
          </w:tcPr>
          <w:p w14:paraId="16B4C420" w14:textId="275BBA8C" w:rsidR="00CA1A16" w:rsidRDefault="005A55ED">
            <w:pPr>
              <w:spacing w:before="20" w:after="20"/>
            </w:pPr>
            <w:r>
              <w:rPr>
                <w:sz w:val="17"/>
              </w:rPr>
              <w:t xml:space="preserve">Step-up authentication before disclosure or any value-bearing action - OTP, biometric </w:t>
            </w:r>
          </w:p>
        </w:tc>
      </w:tr>
      <w:tr w:rsidR="00CA1A16" w14:paraId="5F258841" w14:textId="77777777" w:rsidTr="00754B6F">
        <w:tc>
          <w:tcPr>
            <w:tcW w:w="3404" w:type="dxa"/>
          </w:tcPr>
          <w:p w14:paraId="11433774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Third-party authority</w:t>
            </w:r>
          </w:p>
        </w:tc>
        <w:tc>
          <w:tcPr>
            <w:tcW w:w="3405" w:type="dxa"/>
          </w:tcPr>
          <w:p w14:paraId="5AB30B98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-</w:t>
            </w:r>
          </w:p>
        </w:tc>
        <w:tc>
          <w:tcPr>
            <w:tcW w:w="3405" w:type="dxa"/>
          </w:tcPr>
          <w:p w14:paraId="21D0B7BD" w14:textId="59E52CBA" w:rsidR="00CA1A16" w:rsidRDefault="005A55ED">
            <w:pPr>
              <w:spacing w:before="20" w:after="20"/>
            </w:pPr>
            <w:r>
              <w:rPr>
                <w:sz w:val="17"/>
              </w:rPr>
              <w:t>Joint holders, power of attorney, guardians and corporate signatories</w:t>
            </w:r>
            <w:r w:rsidR="00354854">
              <w:rPr>
                <w:sz w:val="17"/>
              </w:rPr>
              <w:t xml:space="preserve"> </w:t>
            </w:r>
            <w:proofErr w:type="spellStart"/>
            <w:r w:rsidR="00354854">
              <w:rPr>
                <w:sz w:val="17"/>
              </w:rPr>
              <w:t>etc</w:t>
            </w:r>
            <w:proofErr w:type="spellEnd"/>
          </w:p>
        </w:tc>
      </w:tr>
    </w:tbl>
    <w:p w14:paraId="4697C91A" w14:textId="77777777" w:rsidR="00754B6F" w:rsidRDefault="00754B6F">
      <w:pPr>
        <w:spacing w:after="60"/>
      </w:pPr>
    </w:p>
    <w:p w14:paraId="174B6357" w14:textId="77777777" w:rsidR="00CA1A16" w:rsidRDefault="005A55ED">
      <w:pPr>
        <w:pStyle w:val="Heading3"/>
      </w:pPr>
      <w:r>
        <w:t>3.2 Channels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A1A16" w14:paraId="3A6F82C7" w14:textId="77777777" w:rsidTr="00B95D4E">
        <w:tc>
          <w:tcPr>
            <w:tcW w:w="3404" w:type="dxa"/>
            <w:shd w:val="clear" w:color="auto" w:fill="DCE6F1"/>
          </w:tcPr>
          <w:p w14:paraId="422EBDF9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w="3405" w:type="dxa"/>
            <w:shd w:val="clear" w:color="auto" w:fill="DCE6F1"/>
          </w:tcPr>
          <w:p w14:paraId="163ACA3C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Accelerator demonstrates</w:t>
            </w:r>
          </w:p>
        </w:tc>
        <w:tc>
          <w:tcPr>
            <w:tcW w:w="3405" w:type="dxa"/>
            <w:shd w:val="clear" w:color="auto" w:fill="FFC000"/>
          </w:tcPr>
          <w:p w14:paraId="686D0BED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Production scope</w:t>
            </w:r>
          </w:p>
        </w:tc>
      </w:tr>
      <w:tr w:rsidR="00CA1A16" w14:paraId="4CEC980D" w14:textId="77777777" w:rsidTr="00796C67">
        <w:tc>
          <w:tcPr>
            <w:tcW w:w="3404" w:type="dxa"/>
          </w:tcPr>
          <w:p w14:paraId="62F8D38C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Email</w:t>
            </w:r>
          </w:p>
        </w:tc>
        <w:tc>
          <w:tcPr>
            <w:tcW w:w="3405" w:type="dxa"/>
          </w:tcPr>
          <w:p w14:paraId="7ED89818" w14:textId="26AB0D74" w:rsidR="00CA1A16" w:rsidRDefault="00A867E9">
            <w:pPr>
              <w:spacing w:before="20" w:after="20"/>
            </w:pPr>
            <w:r>
              <w:rPr>
                <w:sz w:val="17"/>
              </w:rPr>
              <w:t xml:space="preserve">Gmail </w:t>
            </w:r>
            <w:r w:rsidR="005A55ED">
              <w:rPr>
                <w:sz w:val="17"/>
              </w:rPr>
              <w:t>Inbound and outbound</w:t>
            </w:r>
          </w:p>
        </w:tc>
        <w:tc>
          <w:tcPr>
            <w:tcW w:w="3405" w:type="dxa"/>
          </w:tcPr>
          <w:p w14:paraId="564FC2AF" w14:textId="00986D35" w:rsidR="00CA1A16" w:rsidRDefault="005A55ED">
            <w:pPr>
              <w:spacing w:before="20" w:after="20"/>
            </w:pPr>
            <w:r>
              <w:rPr>
                <w:sz w:val="17"/>
              </w:rPr>
              <w:t xml:space="preserve">Enterprise mail infrastructure </w:t>
            </w:r>
          </w:p>
        </w:tc>
      </w:tr>
      <w:tr w:rsidR="00CA1A16" w14:paraId="19D0DEA3" w14:textId="77777777" w:rsidTr="00796C67">
        <w:tc>
          <w:tcPr>
            <w:tcW w:w="3404" w:type="dxa"/>
          </w:tcPr>
          <w:p w14:paraId="2B921AD1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Web chat</w:t>
            </w:r>
          </w:p>
        </w:tc>
        <w:tc>
          <w:tcPr>
            <w:tcW w:w="3405" w:type="dxa"/>
          </w:tcPr>
          <w:p w14:paraId="1F1B9394" w14:textId="7981A8D3" w:rsidR="00CA1A16" w:rsidRDefault="005A55ED">
            <w:pPr>
              <w:spacing w:before="20" w:after="20"/>
            </w:pPr>
            <w:r>
              <w:rPr>
                <w:sz w:val="17"/>
              </w:rPr>
              <w:t>Authenticated portal chat</w:t>
            </w:r>
            <w:r w:rsidR="00A867E9">
              <w:rPr>
                <w:sz w:val="17"/>
              </w:rPr>
              <w:t xml:space="preserve"> window</w:t>
            </w:r>
          </w:p>
        </w:tc>
        <w:tc>
          <w:tcPr>
            <w:tcW w:w="3405" w:type="dxa"/>
          </w:tcPr>
          <w:p w14:paraId="7FF94B76" w14:textId="5037C1AB" w:rsidR="00CA1A16" w:rsidRDefault="00F51B47">
            <w:pPr>
              <w:spacing w:before="20" w:after="20"/>
            </w:pPr>
            <w:r>
              <w:rPr>
                <w:sz w:val="17"/>
              </w:rPr>
              <w:t xml:space="preserve">Client’s </w:t>
            </w:r>
            <w:r w:rsidR="001110FC">
              <w:rPr>
                <w:sz w:val="17"/>
              </w:rPr>
              <w:t>app</w:t>
            </w:r>
          </w:p>
        </w:tc>
      </w:tr>
      <w:tr w:rsidR="00CA1A16" w14:paraId="6CCEEB95" w14:textId="77777777" w:rsidTr="00796C67">
        <w:tc>
          <w:tcPr>
            <w:tcW w:w="3404" w:type="dxa"/>
          </w:tcPr>
          <w:p w14:paraId="7CF9D4EC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WhatsApp</w:t>
            </w:r>
          </w:p>
        </w:tc>
        <w:tc>
          <w:tcPr>
            <w:tcW w:w="3405" w:type="dxa"/>
          </w:tcPr>
          <w:p w14:paraId="176A6D67" w14:textId="26B0C89D" w:rsidR="00CA1A16" w:rsidRDefault="005A55ED">
            <w:pPr>
              <w:spacing w:before="20" w:after="20"/>
            </w:pPr>
            <w:r>
              <w:rPr>
                <w:sz w:val="17"/>
              </w:rPr>
              <w:t>Live integration via Meta Cloud API</w:t>
            </w:r>
            <w:r w:rsidR="001110FC">
              <w:rPr>
                <w:sz w:val="17"/>
              </w:rPr>
              <w:t xml:space="preserve"> </w:t>
            </w:r>
          </w:p>
        </w:tc>
        <w:tc>
          <w:tcPr>
            <w:tcW w:w="3405" w:type="dxa"/>
          </w:tcPr>
          <w:p w14:paraId="68F3D212" w14:textId="670CE7E7" w:rsidR="00CA1A16" w:rsidRDefault="005A55ED">
            <w:pPr>
              <w:spacing w:before="20" w:after="20"/>
            </w:pPr>
            <w:r>
              <w:rPr>
                <w:sz w:val="17"/>
              </w:rPr>
              <w:t xml:space="preserve">Business-verified account </w:t>
            </w:r>
          </w:p>
        </w:tc>
      </w:tr>
      <w:tr w:rsidR="00CA1A16" w14:paraId="0426DA36" w14:textId="77777777" w:rsidTr="00796C67">
        <w:tc>
          <w:tcPr>
            <w:tcW w:w="3404" w:type="dxa"/>
          </w:tcPr>
          <w:p w14:paraId="5930944F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Voice</w:t>
            </w:r>
          </w:p>
        </w:tc>
        <w:tc>
          <w:tcPr>
            <w:tcW w:w="3405" w:type="dxa"/>
          </w:tcPr>
          <w:p w14:paraId="37B68B2B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-</w:t>
            </w:r>
          </w:p>
        </w:tc>
        <w:tc>
          <w:tcPr>
            <w:tcW w:w="3405" w:type="dxa"/>
          </w:tcPr>
          <w:p w14:paraId="7105BCBF" w14:textId="786AF5E3" w:rsidR="00CA1A16" w:rsidRDefault="00E46534">
            <w:pPr>
              <w:spacing w:before="20" w:after="20"/>
            </w:pPr>
            <w:r>
              <w:rPr>
                <w:sz w:val="17"/>
              </w:rPr>
              <w:t xml:space="preserve">Telephony / </w:t>
            </w:r>
            <w:r w:rsidR="005A55ED">
              <w:rPr>
                <w:sz w:val="17"/>
              </w:rPr>
              <w:t xml:space="preserve">CTI integration, </w:t>
            </w:r>
            <w:r>
              <w:rPr>
                <w:sz w:val="17"/>
              </w:rPr>
              <w:t>STT &amp; TTS</w:t>
            </w:r>
          </w:p>
        </w:tc>
      </w:tr>
    </w:tbl>
    <w:p w14:paraId="2BFD28E0" w14:textId="77777777" w:rsidR="00CA1A16" w:rsidRDefault="00CA1A16">
      <w:pPr>
        <w:spacing w:after="60"/>
      </w:pPr>
    </w:p>
    <w:p w14:paraId="062E211E" w14:textId="6A9580B0" w:rsidR="00D578C4" w:rsidRDefault="00D578C4" w:rsidP="00D578C4">
      <w:pPr>
        <w:pStyle w:val="Heading3"/>
      </w:pPr>
      <w:r>
        <w:t>3.</w:t>
      </w:r>
      <w:r>
        <w:t>3</w:t>
      </w:r>
      <w:r>
        <w:t xml:space="preserve"> </w:t>
      </w:r>
      <w:r w:rsidR="00344ABD">
        <w:t>E</w:t>
      </w:r>
      <w:r>
        <w:t>scalation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578C4" w14:paraId="55F20C2E" w14:textId="77777777" w:rsidTr="00B95D4E">
        <w:tc>
          <w:tcPr>
            <w:tcW w:w="3404" w:type="dxa"/>
            <w:shd w:val="clear" w:color="auto" w:fill="DCE6F1"/>
          </w:tcPr>
          <w:p w14:paraId="32B9427B" w14:textId="77777777" w:rsidR="00D578C4" w:rsidRDefault="00D578C4" w:rsidP="001A6126">
            <w:pPr>
              <w:spacing w:before="20" w:after="20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w="3405" w:type="dxa"/>
            <w:shd w:val="clear" w:color="auto" w:fill="DCE6F1"/>
          </w:tcPr>
          <w:p w14:paraId="08384693" w14:textId="77777777" w:rsidR="00D578C4" w:rsidRDefault="00D578C4" w:rsidP="001A6126">
            <w:pPr>
              <w:spacing w:before="20" w:after="20"/>
            </w:pPr>
            <w:r>
              <w:rPr>
                <w:b/>
                <w:sz w:val="17"/>
              </w:rPr>
              <w:t>Accelerator demonstrates</w:t>
            </w:r>
          </w:p>
        </w:tc>
        <w:tc>
          <w:tcPr>
            <w:tcW w:w="3405" w:type="dxa"/>
            <w:shd w:val="clear" w:color="auto" w:fill="FFC000"/>
          </w:tcPr>
          <w:p w14:paraId="71F8195D" w14:textId="77777777" w:rsidR="00D578C4" w:rsidRDefault="00D578C4" w:rsidP="001A6126">
            <w:pPr>
              <w:spacing w:before="20" w:after="20"/>
            </w:pPr>
            <w:r>
              <w:rPr>
                <w:b/>
                <w:sz w:val="17"/>
              </w:rPr>
              <w:t>Production scope</w:t>
            </w:r>
          </w:p>
        </w:tc>
      </w:tr>
      <w:tr w:rsidR="00D262B5" w14:paraId="67C97180" w14:textId="77777777" w:rsidTr="00C76C38">
        <w:tc>
          <w:tcPr>
            <w:tcW w:w="3404" w:type="dxa"/>
          </w:tcPr>
          <w:p w14:paraId="1AC1CFDF" w14:textId="72BFDF95" w:rsidR="00D262B5" w:rsidRDefault="00D262B5" w:rsidP="00D262B5">
            <w:pPr>
              <w:spacing w:before="20" w:after="20"/>
            </w:pPr>
            <w:r>
              <w:rPr>
                <w:sz w:val="17"/>
              </w:rPr>
              <w:t>Escalation routing</w:t>
            </w:r>
          </w:p>
        </w:tc>
        <w:tc>
          <w:tcPr>
            <w:tcW w:w="3405" w:type="dxa"/>
          </w:tcPr>
          <w:p w14:paraId="18506F50" w14:textId="20FFA4A2" w:rsidR="00D262B5" w:rsidRDefault="00AD30EF" w:rsidP="00D262B5">
            <w:pPr>
              <w:spacing w:before="20" w:after="20"/>
            </w:pPr>
            <w:r>
              <w:rPr>
                <w:sz w:val="17"/>
              </w:rPr>
              <w:t>A</w:t>
            </w:r>
            <w:r w:rsidR="00D262B5">
              <w:rPr>
                <w:sz w:val="17"/>
              </w:rPr>
              <w:t xml:space="preserve">ssigns </w:t>
            </w:r>
            <w:r w:rsidR="003B557E">
              <w:rPr>
                <w:sz w:val="17"/>
              </w:rPr>
              <w:t xml:space="preserve">L1/L2/L3 </w:t>
            </w:r>
            <w:r w:rsidR="00451866">
              <w:rPr>
                <w:sz w:val="17"/>
              </w:rPr>
              <w:t xml:space="preserve">&amp; decides </w:t>
            </w:r>
            <w:r w:rsidR="004B14E9">
              <w:rPr>
                <w:sz w:val="17"/>
              </w:rPr>
              <w:t xml:space="preserve">human </w:t>
            </w:r>
            <w:r>
              <w:rPr>
                <w:sz w:val="17"/>
              </w:rPr>
              <w:t>h</w:t>
            </w:r>
            <w:r w:rsidR="004B14E9">
              <w:rPr>
                <w:sz w:val="17"/>
              </w:rPr>
              <w:t>andover</w:t>
            </w:r>
          </w:p>
        </w:tc>
        <w:tc>
          <w:tcPr>
            <w:tcW w:w="3405" w:type="dxa"/>
          </w:tcPr>
          <w:p w14:paraId="2576EAAD" w14:textId="77777777" w:rsidR="00484708" w:rsidRDefault="00D262B5" w:rsidP="00D262B5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 xml:space="preserve">Skills-based routing to named </w:t>
            </w:r>
            <w:r w:rsidR="007C38A5">
              <w:rPr>
                <w:sz w:val="17"/>
              </w:rPr>
              <w:t>owners,</w:t>
            </w:r>
            <w:r>
              <w:rPr>
                <w:sz w:val="17"/>
              </w:rPr>
              <w:t xml:space="preserve"> </w:t>
            </w:r>
          </w:p>
          <w:p w14:paraId="60CB069C" w14:textId="498F5C44" w:rsidR="00D262B5" w:rsidRDefault="00484708" w:rsidP="00D262B5">
            <w:pPr>
              <w:spacing w:before="20" w:after="20"/>
            </w:pPr>
            <w:r>
              <w:rPr>
                <w:sz w:val="16"/>
              </w:rPr>
              <w:t>H</w:t>
            </w:r>
            <w:r w:rsidR="00287E61">
              <w:rPr>
                <w:sz w:val="16"/>
              </w:rPr>
              <w:t>uman</w:t>
            </w:r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agent execute</w:t>
            </w:r>
            <w:r w:rsidR="0027380D">
              <w:rPr>
                <w:sz w:val="16"/>
              </w:rPr>
              <w:t>s</w:t>
            </w:r>
            <w:proofErr w:type="gramEnd"/>
            <w:r>
              <w:rPr>
                <w:sz w:val="16"/>
              </w:rPr>
              <w:t xml:space="preserve"> the assigned tasks </w:t>
            </w:r>
            <w:r w:rsidR="0027380D">
              <w:rPr>
                <w:sz w:val="16"/>
              </w:rPr>
              <w:t>or directly contacts the customer via any channel (preferably call)</w:t>
            </w:r>
          </w:p>
        </w:tc>
      </w:tr>
      <w:tr w:rsidR="00344ABD" w14:paraId="353B7477" w14:textId="77777777" w:rsidTr="00C76C38">
        <w:tc>
          <w:tcPr>
            <w:tcW w:w="3404" w:type="dxa"/>
          </w:tcPr>
          <w:p w14:paraId="1C8F93B7" w14:textId="2783FAD6" w:rsidR="00344ABD" w:rsidRDefault="00344ABD" w:rsidP="00344ABD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>Escalating cadence</w:t>
            </w:r>
          </w:p>
        </w:tc>
        <w:tc>
          <w:tcPr>
            <w:tcW w:w="3405" w:type="dxa"/>
          </w:tcPr>
          <w:p w14:paraId="4B2299FD" w14:textId="0D3ABDE2" w:rsidR="00344ABD" w:rsidRDefault="00344ABD" w:rsidP="00344ABD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>-</w:t>
            </w:r>
          </w:p>
        </w:tc>
        <w:tc>
          <w:tcPr>
            <w:tcW w:w="3405" w:type="dxa"/>
          </w:tcPr>
          <w:p w14:paraId="097A55D5" w14:textId="4B673A78" w:rsidR="00344ABD" w:rsidRDefault="00A0543D" w:rsidP="00344ABD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>Follow-ups till issue is resolved</w:t>
            </w:r>
            <w:r w:rsidR="00344ABD">
              <w:rPr>
                <w:sz w:val="17"/>
              </w:rPr>
              <w:t xml:space="preserve"> </w:t>
            </w:r>
          </w:p>
        </w:tc>
      </w:tr>
      <w:tr w:rsidR="00D96E91" w14:paraId="0098653C" w14:textId="77777777" w:rsidTr="00C76C38">
        <w:tc>
          <w:tcPr>
            <w:tcW w:w="3404" w:type="dxa"/>
          </w:tcPr>
          <w:p w14:paraId="3E3F814F" w14:textId="03D3A162" w:rsidR="00D96E91" w:rsidRDefault="00D96E91" w:rsidP="00D96E91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>Post-handover monitoring</w:t>
            </w:r>
          </w:p>
        </w:tc>
        <w:tc>
          <w:tcPr>
            <w:tcW w:w="3405" w:type="dxa"/>
          </w:tcPr>
          <w:p w14:paraId="25507B08" w14:textId="68E2E0F9" w:rsidR="00D96E91" w:rsidRDefault="00D96E91" w:rsidP="00D96E91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>Assist continues after handover</w:t>
            </w:r>
          </w:p>
        </w:tc>
        <w:tc>
          <w:tcPr>
            <w:tcW w:w="3405" w:type="dxa"/>
          </w:tcPr>
          <w:p w14:paraId="1B8CB8C0" w14:textId="4C135F02" w:rsidR="00D96E91" w:rsidRDefault="003C1A8E" w:rsidP="00D96E91">
            <w:pPr>
              <w:spacing w:before="20" w:after="20"/>
              <w:rPr>
                <w:sz w:val="17"/>
              </w:rPr>
            </w:pPr>
            <w:r>
              <w:rPr>
                <w:sz w:val="17"/>
              </w:rPr>
              <w:t xml:space="preserve">Monitoring </w:t>
            </w:r>
            <w:r w:rsidR="00D96E91">
              <w:rPr>
                <w:sz w:val="17"/>
              </w:rPr>
              <w:t xml:space="preserve">Intent-change and sentiment-deterioration detection, </w:t>
            </w:r>
            <w:proofErr w:type="spellStart"/>
            <w:r w:rsidR="00D96E91">
              <w:rPr>
                <w:sz w:val="17"/>
              </w:rPr>
              <w:t>etc</w:t>
            </w:r>
            <w:proofErr w:type="spellEnd"/>
          </w:p>
        </w:tc>
      </w:tr>
    </w:tbl>
    <w:p w14:paraId="793D75D4" w14:textId="77777777" w:rsidR="00CA1A16" w:rsidRDefault="00CA1A16">
      <w:pPr>
        <w:spacing w:after="60"/>
      </w:pPr>
    </w:p>
    <w:p w14:paraId="45DE2D0B" w14:textId="1F0ACB72" w:rsidR="00CA1A16" w:rsidRDefault="005A55ED">
      <w:pPr>
        <w:pStyle w:val="Heading3"/>
      </w:pPr>
      <w:r>
        <w:t>3.</w:t>
      </w:r>
      <w:r w:rsidR="00974166">
        <w:t>4</w:t>
      </w:r>
      <w:r>
        <w:t xml:space="preserve"> Proactive engagement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CA1A16" w14:paraId="0C438E62" w14:textId="77777777" w:rsidTr="00B95D4E">
        <w:tc>
          <w:tcPr>
            <w:tcW w:w="3404" w:type="dxa"/>
            <w:shd w:val="clear" w:color="auto" w:fill="DCE6F1"/>
          </w:tcPr>
          <w:p w14:paraId="7772CF8A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Capability</w:t>
            </w:r>
          </w:p>
        </w:tc>
        <w:tc>
          <w:tcPr>
            <w:tcW w:w="3405" w:type="dxa"/>
            <w:shd w:val="clear" w:color="auto" w:fill="DCE6F1"/>
          </w:tcPr>
          <w:p w14:paraId="0A90EB74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Accelerator demonstrates</w:t>
            </w:r>
          </w:p>
        </w:tc>
        <w:tc>
          <w:tcPr>
            <w:tcW w:w="3405" w:type="dxa"/>
            <w:shd w:val="clear" w:color="auto" w:fill="FFC000"/>
          </w:tcPr>
          <w:p w14:paraId="74A5809A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Production scope</w:t>
            </w:r>
          </w:p>
        </w:tc>
      </w:tr>
      <w:tr w:rsidR="00CA1A16" w14:paraId="041364CB" w14:textId="77777777" w:rsidTr="00344ABD">
        <w:tc>
          <w:tcPr>
            <w:tcW w:w="3404" w:type="dxa"/>
          </w:tcPr>
          <w:p w14:paraId="16B9F196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Outbound campaigns</w:t>
            </w:r>
          </w:p>
        </w:tc>
        <w:tc>
          <w:tcPr>
            <w:tcW w:w="3405" w:type="dxa"/>
          </w:tcPr>
          <w:p w14:paraId="7675D2DE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-</w:t>
            </w:r>
          </w:p>
        </w:tc>
        <w:tc>
          <w:tcPr>
            <w:tcW w:w="3405" w:type="dxa"/>
          </w:tcPr>
          <w:p w14:paraId="21278483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Payment and EMI reminders, mandate bounce alerts, KYC expiry, card renewal, deposit maturity, dormant reactivation</w:t>
            </w:r>
          </w:p>
        </w:tc>
      </w:tr>
      <w:tr w:rsidR="00CA1A16" w14:paraId="31A19B27" w14:textId="77777777" w:rsidTr="00344ABD">
        <w:tc>
          <w:tcPr>
            <w:tcW w:w="3404" w:type="dxa"/>
          </w:tcPr>
          <w:p w14:paraId="59804167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Consent and contact governance</w:t>
            </w:r>
          </w:p>
        </w:tc>
        <w:tc>
          <w:tcPr>
            <w:tcW w:w="3405" w:type="dxa"/>
          </w:tcPr>
          <w:p w14:paraId="2859EB6E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-</w:t>
            </w:r>
          </w:p>
        </w:tc>
        <w:tc>
          <w:tcPr>
            <w:tcW w:w="3405" w:type="dxa"/>
          </w:tcPr>
          <w:p w14:paraId="1CA99ABA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Purpose-bound consent, do-not-contact enforcement, permitted contact hours and frequency caps</w:t>
            </w:r>
          </w:p>
        </w:tc>
      </w:tr>
      <w:tr w:rsidR="00CA1A16" w14:paraId="0C91EF5A" w14:textId="77777777" w:rsidTr="00344ABD">
        <w:tc>
          <w:tcPr>
            <w:tcW w:w="3404" w:type="dxa"/>
          </w:tcPr>
          <w:p w14:paraId="1FC9E8E2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Campaign audit</w:t>
            </w:r>
          </w:p>
        </w:tc>
        <w:tc>
          <w:tcPr>
            <w:tcW w:w="3405" w:type="dxa"/>
          </w:tcPr>
          <w:p w14:paraId="1FF7E50B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-</w:t>
            </w:r>
          </w:p>
        </w:tc>
        <w:tc>
          <w:tcPr>
            <w:tcW w:w="3405" w:type="dxa"/>
          </w:tcPr>
          <w:p w14:paraId="041AA0A8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Full record of who was contacted, why, and on what consent basis</w:t>
            </w:r>
          </w:p>
        </w:tc>
      </w:tr>
    </w:tbl>
    <w:p w14:paraId="6B44FEEC" w14:textId="01A4C2BB" w:rsidR="00CA1A16" w:rsidRDefault="00CA1A16" w:rsidP="00431B16"/>
    <w:p w14:paraId="50F4A090" w14:textId="77777777" w:rsidR="00CA1A16" w:rsidRDefault="00CA1A16">
      <w:pPr>
        <w:pBdr>
          <w:bottom w:val="single" w:sz="6" w:space="0" w:color="BFBFBF"/>
        </w:pBdr>
        <w:spacing w:before="40" w:after="40"/>
      </w:pPr>
    </w:p>
    <w:p w14:paraId="0B5BD886" w14:textId="33A1CF25" w:rsidR="00CA1A16" w:rsidRDefault="009123CE" w:rsidP="0076201B">
      <w:pPr>
        <w:pStyle w:val="Heading2"/>
      </w:pPr>
      <w:bookmarkStart w:id="3" w:name="_Toc239277651"/>
      <w:r>
        <w:t>4</w:t>
      </w:r>
      <w:r w:rsidR="005A55ED">
        <w:t>. AI assurance and evaluation</w:t>
      </w:r>
      <w:bookmarkEnd w:id="3"/>
      <w:r w:rsidR="001D14DA">
        <w:t xml:space="preserve"> – </w:t>
      </w:r>
      <w:r w:rsidR="001D14DA" w:rsidRPr="001D14DA">
        <w:rPr>
          <w:color w:val="F79646" w:themeColor="accent6"/>
        </w:rPr>
        <w:t>Production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CA1A16" w14:paraId="2CAEFD91" w14:textId="77777777" w:rsidTr="005D4EAC">
        <w:tc>
          <w:tcPr>
            <w:tcW w:w="5107" w:type="dxa"/>
            <w:shd w:val="clear" w:color="auto" w:fill="DCE6F1"/>
          </w:tcPr>
          <w:p w14:paraId="5D8E477F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Metric</w:t>
            </w:r>
          </w:p>
        </w:tc>
        <w:tc>
          <w:tcPr>
            <w:tcW w:w="5107" w:type="dxa"/>
            <w:shd w:val="clear" w:color="auto" w:fill="DCE6F1"/>
          </w:tcPr>
          <w:p w14:paraId="3659C388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Measures</w:t>
            </w:r>
          </w:p>
        </w:tc>
      </w:tr>
      <w:tr w:rsidR="00CA1A16" w14:paraId="6B8056DD" w14:textId="77777777" w:rsidTr="005D4EAC">
        <w:tc>
          <w:tcPr>
            <w:tcW w:w="5107" w:type="dxa"/>
          </w:tcPr>
          <w:p w14:paraId="50427040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Intent accuracy</w:t>
            </w:r>
          </w:p>
        </w:tc>
        <w:tc>
          <w:tcPr>
            <w:tcW w:w="5107" w:type="dxa"/>
          </w:tcPr>
          <w:p w14:paraId="1FD93985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Correct classification against a labelled set</w:t>
            </w:r>
          </w:p>
        </w:tc>
      </w:tr>
      <w:tr w:rsidR="00CA1A16" w14:paraId="441DB5A3" w14:textId="77777777" w:rsidTr="005D4EAC">
        <w:tc>
          <w:tcPr>
            <w:tcW w:w="5107" w:type="dxa"/>
          </w:tcPr>
          <w:p w14:paraId="35915B4A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Retrieval relevance</w:t>
            </w:r>
          </w:p>
        </w:tc>
        <w:tc>
          <w:tcPr>
            <w:tcW w:w="5107" w:type="dxa"/>
          </w:tcPr>
          <w:p w14:paraId="2467FB3A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Quality of retrieved evidence</w:t>
            </w:r>
          </w:p>
        </w:tc>
      </w:tr>
      <w:tr w:rsidR="00CA1A16" w14:paraId="4F0D0998" w14:textId="77777777" w:rsidTr="005D4EAC">
        <w:tc>
          <w:tcPr>
            <w:tcW w:w="5107" w:type="dxa"/>
          </w:tcPr>
          <w:p w14:paraId="42CE18B0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Groundedness</w:t>
            </w:r>
          </w:p>
        </w:tc>
        <w:tc>
          <w:tcPr>
            <w:tcW w:w="5107" w:type="dxa"/>
          </w:tcPr>
          <w:p w14:paraId="7795F60B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Whether answers are supported by retrieved sources</w:t>
            </w:r>
          </w:p>
        </w:tc>
      </w:tr>
      <w:tr w:rsidR="00CA1A16" w14:paraId="427C2116" w14:textId="77777777" w:rsidTr="005D4EAC">
        <w:tc>
          <w:tcPr>
            <w:tcW w:w="5107" w:type="dxa"/>
          </w:tcPr>
          <w:p w14:paraId="4235E0F6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Hallucination rate</w:t>
            </w:r>
          </w:p>
        </w:tc>
        <w:tc>
          <w:tcPr>
            <w:tcW w:w="5107" w:type="dxa"/>
          </w:tcPr>
          <w:p w14:paraId="280427EB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Unsupported content, detected and bounded</w:t>
            </w:r>
          </w:p>
        </w:tc>
      </w:tr>
      <w:tr w:rsidR="00CA1A16" w14:paraId="5F97119B" w14:textId="77777777" w:rsidTr="005D4EAC">
        <w:tc>
          <w:tcPr>
            <w:tcW w:w="5107" w:type="dxa"/>
          </w:tcPr>
          <w:p w14:paraId="364AA535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Escalation accuracy</w:t>
            </w:r>
          </w:p>
        </w:tc>
        <w:tc>
          <w:tcPr>
            <w:tcW w:w="5107" w:type="dxa"/>
          </w:tcPr>
          <w:p w14:paraId="68B0BEDD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Correct handover decisions</w:t>
            </w:r>
          </w:p>
        </w:tc>
      </w:tr>
      <w:tr w:rsidR="00CA1A16" w14:paraId="37C1E17A" w14:textId="77777777" w:rsidTr="005D4EAC">
        <w:tc>
          <w:tcPr>
            <w:tcW w:w="5107" w:type="dxa"/>
          </w:tcPr>
          <w:p w14:paraId="7A3362C2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Response latency</w:t>
            </w:r>
          </w:p>
        </w:tc>
        <w:tc>
          <w:tcPr>
            <w:tcW w:w="5107" w:type="dxa"/>
          </w:tcPr>
          <w:p w14:paraId="2060AC62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P50, P95 and P99 by channel</w:t>
            </w:r>
          </w:p>
        </w:tc>
      </w:tr>
      <w:tr w:rsidR="00CA1A16" w14:paraId="1A443D7B" w14:textId="77777777" w:rsidTr="005D4EAC">
        <w:tc>
          <w:tcPr>
            <w:tcW w:w="5107" w:type="dxa"/>
          </w:tcPr>
          <w:p w14:paraId="23F3CFCD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Language accuracy</w:t>
            </w:r>
          </w:p>
        </w:tc>
        <w:tc>
          <w:tcPr>
            <w:tcW w:w="5107" w:type="dxa"/>
          </w:tcPr>
          <w:p w14:paraId="5B77B414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Performance per language, not aggregate</w:t>
            </w:r>
          </w:p>
        </w:tc>
      </w:tr>
      <w:tr w:rsidR="00CA1A16" w14:paraId="5891B0A7" w14:textId="77777777" w:rsidTr="005D4EAC">
        <w:tc>
          <w:tcPr>
            <w:tcW w:w="5107" w:type="dxa"/>
          </w:tcPr>
          <w:p w14:paraId="60A44396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Follow-up completion</w:t>
            </w:r>
          </w:p>
        </w:tc>
        <w:tc>
          <w:tcPr>
            <w:tcW w:w="5107" w:type="dxa"/>
          </w:tcPr>
          <w:p w14:paraId="18C1A989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Proactive tasks completed within TAT</w:t>
            </w:r>
          </w:p>
        </w:tc>
      </w:tr>
    </w:tbl>
    <w:p w14:paraId="41A9B8F1" w14:textId="77777777" w:rsidR="00CA1A16" w:rsidRDefault="00CA1A16">
      <w:pPr>
        <w:spacing w:after="60"/>
      </w:pPr>
    </w:p>
    <w:p w14:paraId="7B3EB1BB" w14:textId="77777777" w:rsidR="00CA1A16" w:rsidRDefault="00CA1A16">
      <w:pPr>
        <w:pBdr>
          <w:bottom w:val="single" w:sz="6" w:space="0" w:color="BFBFBF"/>
        </w:pBdr>
        <w:spacing w:before="40" w:after="40"/>
      </w:pPr>
    </w:p>
    <w:p w14:paraId="2F3549C5" w14:textId="6FD68DE2" w:rsidR="00CA1A16" w:rsidRDefault="009123CE">
      <w:pPr>
        <w:pStyle w:val="Heading2"/>
      </w:pPr>
      <w:bookmarkStart w:id="4" w:name="_Toc239277652"/>
      <w:r>
        <w:t>5</w:t>
      </w:r>
      <w:r w:rsidR="005A55ED">
        <w:t>. Regulatory and compliance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CA1A16" w14:paraId="554DDDB8" w14:textId="77777777" w:rsidTr="001D14DA">
        <w:tc>
          <w:tcPr>
            <w:tcW w:w="5107" w:type="dxa"/>
            <w:shd w:val="clear" w:color="auto" w:fill="DCE6F1"/>
          </w:tcPr>
          <w:p w14:paraId="2A5BE7B4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w="5107" w:type="dxa"/>
            <w:shd w:val="clear" w:color="auto" w:fill="FFC000"/>
          </w:tcPr>
          <w:p w14:paraId="22D4B5C4" w14:textId="77777777" w:rsidR="00CA1A16" w:rsidRDefault="005A55ED">
            <w:pPr>
              <w:spacing w:before="20" w:after="20"/>
            </w:pPr>
            <w:r>
              <w:rPr>
                <w:b/>
                <w:sz w:val="17"/>
              </w:rPr>
              <w:t>Production scope</w:t>
            </w:r>
          </w:p>
        </w:tc>
      </w:tr>
      <w:tr w:rsidR="00CA1A16" w14:paraId="4AACA8EF" w14:textId="77777777" w:rsidTr="00CD2A27">
        <w:tc>
          <w:tcPr>
            <w:tcW w:w="5107" w:type="dxa"/>
          </w:tcPr>
          <w:p w14:paraId="29F9DD33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Financial advice</w:t>
            </w:r>
          </w:p>
        </w:tc>
        <w:tc>
          <w:tcPr>
            <w:tcW w:w="5107" w:type="dxa"/>
          </w:tcPr>
          <w:p w14:paraId="71A7BA8D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Hard guardrail with abstention and routing to an authorised person</w:t>
            </w:r>
          </w:p>
        </w:tc>
      </w:tr>
      <w:tr w:rsidR="00CA1A16" w14:paraId="571B723B" w14:textId="77777777" w:rsidTr="00CD2A27">
        <w:tc>
          <w:tcPr>
            <w:tcW w:w="5107" w:type="dxa"/>
          </w:tcPr>
          <w:p w14:paraId="5CD9C073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Data protection</w:t>
            </w:r>
          </w:p>
        </w:tc>
        <w:tc>
          <w:tcPr>
            <w:tcW w:w="5107" w:type="dxa"/>
          </w:tcPr>
          <w:p w14:paraId="28B8DDA3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Purpose-bound consent capture and enforcement under the DPDP Act</w:t>
            </w:r>
          </w:p>
        </w:tc>
      </w:tr>
      <w:tr w:rsidR="00CA1A16" w14:paraId="0D9733BD" w14:textId="77777777" w:rsidTr="00CD2A27">
        <w:tc>
          <w:tcPr>
            <w:tcW w:w="5107" w:type="dxa"/>
          </w:tcPr>
          <w:p w14:paraId="592A4A22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Contact governance</w:t>
            </w:r>
          </w:p>
        </w:tc>
        <w:tc>
          <w:tcPr>
            <w:tcW w:w="5107" w:type="dxa"/>
          </w:tcPr>
          <w:p w14:paraId="466AE31A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Do-not-contact enforcement, permitted hours and frequency caps</w:t>
            </w:r>
          </w:p>
        </w:tc>
      </w:tr>
      <w:tr w:rsidR="00CA1A16" w14:paraId="7692AC34" w14:textId="77777777" w:rsidTr="00CD2A27">
        <w:tc>
          <w:tcPr>
            <w:tcW w:w="5107" w:type="dxa"/>
          </w:tcPr>
          <w:p w14:paraId="7CA8A496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Call recording</w:t>
            </w:r>
          </w:p>
        </w:tc>
        <w:tc>
          <w:tcPr>
            <w:tcW w:w="5107" w:type="dxa"/>
          </w:tcPr>
          <w:p w14:paraId="6CBF00E8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Recording, consent notification and mandated retention</w:t>
            </w:r>
          </w:p>
        </w:tc>
      </w:tr>
      <w:tr w:rsidR="00CA1A16" w14:paraId="5473BA29" w14:textId="77777777" w:rsidTr="00CD2A27">
        <w:tc>
          <w:tcPr>
            <w:tcW w:w="5107" w:type="dxa"/>
          </w:tcPr>
          <w:p w14:paraId="73E544B1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Fraud response</w:t>
            </w:r>
          </w:p>
        </w:tc>
        <w:tc>
          <w:tcPr>
            <w:tcW w:w="5107" w:type="dxa"/>
          </w:tcPr>
          <w:p w14:paraId="3D89399B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Time-bound handling for suspected unauthorised transactions</w:t>
            </w:r>
          </w:p>
        </w:tc>
      </w:tr>
      <w:tr w:rsidR="00CA1A16" w14:paraId="704930DD" w14:textId="77777777" w:rsidTr="00CD2A27">
        <w:tc>
          <w:tcPr>
            <w:tcW w:w="5107" w:type="dxa"/>
          </w:tcPr>
          <w:p w14:paraId="76B9A257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Explainability</w:t>
            </w:r>
          </w:p>
        </w:tc>
        <w:tc>
          <w:tcPr>
            <w:tcW w:w="5107" w:type="dxa"/>
          </w:tcPr>
          <w:p w14:paraId="4A95CF94" w14:textId="77777777" w:rsidR="00CA1A16" w:rsidRDefault="005A55ED">
            <w:pPr>
              <w:spacing w:before="20" w:after="20"/>
            </w:pPr>
            <w:r>
              <w:rPr>
                <w:sz w:val="17"/>
              </w:rPr>
              <w:t>Every AI decision traceable to its evidence and inputs</w:t>
            </w:r>
          </w:p>
        </w:tc>
      </w:tr>
    </w:tbl>
    <w:p w14:paraId="42E46ECB" w14:textId="77777777" w:rsidR="00CA1A16" w:rsidRDefault="00CA1A16">
      <w:pPr>
        <w:spacing w:after="60"/>
      </w:pPr>
    </w:p>
    <w:p w14:paraId="507B39C9" w14:textId="77777777" w:rsidR="00CA1A16" w:rsidRDefault="00CA1A16">
      <w:pPr>
        <w:pBdr>
          <w:bottom w:val="single" w:sz="6" w:space="0" w:color="BFBFBF"/>
        </w:pBdr>
        <w:spacing w:before="40" w:after="40"/>
      </w:pPr>
    </w:p>
    <w:p w14:paraId="4D4E6D8B" w14:textId="77777777" w:rsidR="00CA1A16" w:rsidRDefault="00CA1A16">
      <w:pPr>
        <w:pBdr>
          <w:bottom w:val="single" w:sz="6" w:space="0" w:color="BFBFBF"/>
        </w:pBdr>
        <w:spacing w:before="40" w:after="40"/>
      </w:pPr>
    </w:p>
    <w:sectPr w:rsidR="00CA1A16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637C2" w14:textId="77777777" w:rsidR="00C14522" w:rsidRDefault="00C14522">
      <w:pPr>
        <w:spacing w:after="0" w:line="240" w:lineRule="auto"/>
      </w:pPr>
      <w:r>
        <w:separator/>
      </w:r>
    </w:p>
  </w:endnote>
  <w:endnote w:type="continuationSeparator" w:id="0">
    <w:p w14:paraId="195A1815" w14:textId="77777777" w:rsidR="00C14522" w:rsidRDefault="00C14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03F7" w14:textId="3E6177C9" w:rsidR="00CA1A16" w:rsidRDefault="005A55ED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03BE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F2E1" w14:textId="77777777" w:rsidR="00C14522" w:rsidRDefault="00C14522">
      <w:pPr>
        <w:spacing w:after="0" w:line="240" w:lineRule="auto"/>
      </w:pPr>
      <w:r>
        <w:separator/>
      </w:r>
    </w:p>
  </w:footnote>
  <w:footnote w:type="continuationSeparator" w:id="0">
    <w:p w14:paraId="40C57895" w14:textId="77777777" w:rsidR="00C14522" w:rsidRDefault="00C14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0212403">
    <w:abstractNumId w:val="8"/>
  </w:num>
  <w:num w:numId="2" w16cid:durableId="1243877771">
    <w:abstractNumId w:val="6"/>
  </w:num>
  <w:num w:numId="3" w16cid:durableId="1034424975">
    <w:abstractNumId w:val="5"/>
  </w:num>
  <w:num w:numId="4" w16cid:durableId="837699181">
    <w:abstractNumId w:val="4"/>
  </w:num>
  <w:num w:numId="5" w16cid:durableId="754126828">
    <w:abstractNumId w:val="7"/>
  </w:num>
  <w:num w:numId="6" w16cid:durableId="77096885">
    <w:abstractNumId w:val="3"/>
  </w:num>
  <w:num w:numId="7" w16cid:durableId="1425030439">
    <w:abstractNumId w:val="2"/>
  </w:num>
  <w:num w:numId="8" w16cid:durableId="873151937">
    <w:abstractNumId w:val="1"/>
  </w:num>
  <w:num w:numId="9" w16cid:durableId="120148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57C"/>
    <w:rsid w:val="0006063C"/>
    <w:rsid w:val="000A4C6E"/>
    <w:rsid w:val="000E3730"/>
    <w:rsid w:val="001110FC"/>
    <w:rsid w:val="00125681"/>
    <w:rsid w:val="001324B4"/>
    <w:rsid w:val="0015074B"/>
    <w:rsid w:val="00154405"/>
    <w:rsid w:val="00155B78"/>
    <w:rsid w:val="001C013D"/>
    <w:rsid w:val="001D14DA"/>
    <w:rsid w:val="001D39C4"/>
    <w:rsid w:val="002435D0"/>
    <w:rsid w:val="002459CC"/>
    <w:rsid w:val="00252262"/>
    <w:rsid w:val="0027380D"/>
    <w:rsid w:val="002822FC"/>
    <w:rsid w:val="00287E61"/>
    <w:rsid w:val="0029639D"/>
    <w:rsid w:val="002974A8"/>
    <w:rsid w:val="00326F90"/>
    <w:rsid w:val="00344ABD"/>
    <w:rsid w:val="00354854"/>
    <w:rsid w:val="00392721"/>
    <w:rsid w:val="003B04E3"/>
    <w:rsid w:val="003B557E"/>
    <w:rsid w:val="003C1A8E"/>
    <w:rsid w:val="003C20FA"/>
    <w:rsid w:val="003E1B3E"/>
    <w:rsid w:val="004175C3"/>
    <w:rsid w:val="00431B16"/>
    <w:rsid w:val="00451866"/>
    <w:rsid w:val="004805B4"/>
    <w:rsid w:val="00484708"/>
    <w:rsid w:val="00486DB1"/>
    <w:rsid w:val="004B14E9"/>
    <w:rsid w:val="004E6594"/>
    <w:rsid w:val="00503BE3"/>
    <w:rsid w:val="00553416"/>
    <w:rsid w:val="005A55ED"/>
    <w:rsid w:val="005D4EAC"/>
    <w:rsid w:val="007024F3"/>
    <w:rsid w:val="007162F3"/>
    <w:rsid w:val="00754B6F"/>
    <w:rsid w:val="0076201B"/>
    <w:rsid w:val="00796C67"/>
    <w:rsid w:val="007C38A5"/>
    <w:rsid w:val="007E5432"/>
    <w:rsid w:val="007F712E"/>
    <w:rsid w:val="00823929"/>
    <w:rsid w:val="00825DDD"/>
    <w:rsid w:val="00837F99"/>
    <w:rsid w:val="00841584"/>
    <w:rsid w:val="00863AC6"/>
    <w:rsid w:val="009123CE"/>
    <w:rsid w:val="0093181D"/>
    <w:rsid w:val="00974166"/>
    <w:rsid w:val="009F10BB"/>
    <w:rsid w:val="00A0543D"/>
    <w:rsid w:val="00A643E0"/>
    <w:rsid w:val="00A867E9"/>
    <w:rsid w:val="00AA1D8D"/>
    <w:rsid w:val="00AD30EF"/>
    <w:rsid w:val="00AF1461"/>
    <w:rsid w:val="00B14080"/>
    <w:rsid w:val="00B47730"/>
    <w:rsid w:val="00B95D4E"/>
    <w:rsid w:val="00BB4475"/>
    <w:rsid w:val="00BE21E7"/>
    <w:rsid w:val="00BF17B1"/>
    <w:rsid w:val="00C11F71"/>
    <w:rsid w:val="00C14522"/>
    <w:rsid w:val="00C3200C"/>
    <w:rsid w:val="00C76C38"/>
    <w:rsid w:val="00CA1A16"/>
    <w:rsid w:val="00CB0664"/>
    <w:rsid w:val="00CD2A27"/>
    <w:rsid w:val="00CE5C32"/>
    <w:rsid w:val="00D262B5"/>
    <w:rsid w:val="00D578C4"/>
    <w:rsid w:val="00D96E91"/>
    <w:rsid w:val="00DE55AC"/>
    <w:rsid w:val="00E438BB"/>
    <w:rsid w:val="00E46534"/>
    <w:rsid w:val="00E525D9"/>
    <w:rsid w:val="00E97742"/>
    <w:rsid w:val="00F17D9E"/>
    <w:rsid w:val="00F33F17"/>
    <w:rsid w:val="00F41AFC"/>
    <w:rsid w:val="00F51B47"/>
    <w:rsid w:val="00F85E1D"/>
    <w:rsid w:val="00F956FC"/>
    <w:rsid w:val="00FB6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54204CC-D32D-40AF-A5FE-F3B66F609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E5C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03BE3"/>
    <w:pPr>
      <w:ind w:left="190"/>
    </w:pPr>
  </w:style>
  <w:style w:type="character" w:styleId="Hyperlink">
    <w:name w:val="Hyperlink"/>
    <w:basedOn w:val="DefaultParagraphFont"/>
    <w:uiPriority w:val="99"/>
    <w:unhideWhenUsed/>
    <w:rsid w:val="00503BE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Sayantini Sarkar</cp:lastModifiedBy>
  <cp:revision>81</cp:revision>
  <dcterms:created xsi:type="dcterms:W3CDTF">2026-09-02T15:09:00Z</dcterms:created>
  <dcterms:modified xsi:type="dcterms:W3CDTF">2026-09-02T16:25:00Z</dcterms:modified>
  <cp:category/>
</cp:coreProperties>
</file>