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3B73"/>
          <w:sz w:val="40"/>
        </w:rPr>
        <w:t>OmnichannelCX — Agentic Customer Resolution Across Every Channel</w:t>
      </w:r>
    </w:p>
    <w:p>
      <w:pPr>
        <w:spacing w:after="140"/>
        <w:jc w:val="both"/>
      </w:pPr>
      <w:r>
        <w:rPr>
          <w:b w:val="0"/>
        </w:rPr>
        <w:t>Three things are quietly driving up the cost of customer service.</w:t>
      </w:r>
    </w:p>
    <w:p>
      <w:pPr>
        <w:spacing w:after="120"/>
        <w:ind w:left="230"/>
        <w:jc w:val="both"/>
      </w:pPr>
      <w:r>
        <w:rPr>
          <w:b/>
          <w:color w:val="1F3B73"/>
        </w:rPr>
        <w:t>Channel silos:</w:t>
      </w:r>
      <w:r>
        <w:rPr>
          <w:b w:val="0"/>
        </w:rPr>
        <w:t xml:space="preserve"> Customers wait ~12 hours for a first response when they expect a faster reply. </w:t>
      </w:r>
      <w:r>
        <w:rPr>
          <w:b/>
        </w:rPr>
        <w:t>Endless repetition:</w:t>
      </w:r>
      <w:r>
        <w:rPr>
          <w:b w:val="0"/>
        </w:rPr>
        <w:t xml:space="preserve"> 56% of customers re-explain their issue when moving between channels. </w:t>
      </w:r>
      <w:r>
        <w:rPr>
          <w:b/>
        </w:rPr>
        <w:t>Manual handling:</w:t>
      </w:r>
      <w:r>
        <w:rPr>
          <w:b w:val="0"/>
        </w:rPr>
        <w:t xml:space="preserve"> Agents spend valuable time searching customer records, reviewing conversation history, checking open tickets and finding relevant policies. McKinsey puts 30–40% of call time in these activities, before the agent even starts solving the problem.</w:t>
      </w:r>
    </w:p>
    <w:p>
      <w:pPr>
        <w:spacing w:after="140"/>
        <w:jc w:val="both"/>
      </w:pPr>
      <w:r>
        <w:rPr>
          <w:b w:val="0"/>
        </w:rPr>
        <w:t>OmnichannelCX changes this. Our agentic AI platform unifies WhatsApp, email and web chat, preserves conversation and ticket context, resolves routine queries automatically, and gives agents the complete picture with a ready-to-send response whenever a human is needed.</w:t>
      </w:r>
    </w:p>
    <w:p>
      <w:pPr>
        <w:spacing w:after="140"/>
        <w:jc w:val="both"/>
      </w:pPr>
      <w:r>
        <w:rPr>
          <w:b/>
        </w:rPr>
        <w:t>The result: faster resolution, lower agent effort, and a cost per interaction of ₹0.34 in AI against the ~₹100 a human resolution costs today.</w:t>
      </w:r>
    </w:p>
    <w:p>
      <w:pPr>
        <w:spacing w:before="260" w:after="120"/>
      </w:pPr>
      <w:r>
        <w:rPr>
          <w:b/>
          <w:color w:val="1F3B73"/>
          <w:sz w:val="26"/>
        </w:rPr>
        <w:t>What is OmnichannelCX</w:t>
      </w:r>
    </w:p>
    <w:p>
      <w:pPr>
        <w:spacing w:after="140"/>
        <w:jc w:val="both"/>
      </w:pPr>
      <w:r>
        <w:rPr>
          <w:b w:val="0"/>
        </w:rPr>
        <w:t>OmnichannelCX is an agentic customer-resolution platform where five specialised AI agents carry a message from arrival to resolution, across nine metered AI operations, on whichever channel the customer chose.</w:t>
      </w:r>
    </w:p>
    <w:p>
      <w:pPr>
        <w:spacing w:after="120"/>
        <w:ind w:left="230"/>
        <w:jc w:val="both"/>
      </w:pPr>
      <w:r>
        <w:rPr>
          <w:b/>
          <w:color w:val="1F3B73"/>
        </w:rPr>
        <w:t>Identifies the customer:</w:t>
      </w:r>
      <w:r>
        <w:rPr>
          <w:b w:val="0"/>
        </w:rPr>
        <w:t xml:space="preserve"> An email address or phone number resolves to a single customer on any channel. Anyone it cannot verify gets no account details at all.</w:t>
      </w:r>
    </w:p>
    <w:p>
      <w:pPr>
        <w:spacing w:after="120"/>
        <w:ind w:left="230"/>
        <w:jc w:val="both"/>
      </w:pPr>
      <w:r>
        <w:rPr>
          <w:b/>
          <w:color w:val="1F3B73"/>
        </w:rPr>
        <w:t>Joins the conversation:</w:t>
      </w:r>
      <w:r>
        <w:rPr>
          <w:b w:val="0"/>
        </w:rPr>
        <w:t xml:space="preserve"> Messages sent days apart join the same case, with a referee model ruling on ambiguous follow-ups. When unsure it forks rather than merges.</w:t>
      </w:r>
    </w:p>
    <w:p>
      <w:pPr>
        <w:spacing w:after="120"/>
        <w:ind w:left="230"/>
        <w:jc w:val="both"/>
      </w:pPr>
      <w:r>
        <w:rPr>
          <w:b/>
          <w:color w:val="1F3B73"/>
        </w:rPr>
        <w:t>Reads the message:</w:t>
      </w:r>
      <w:r>
        <w:rPr>
          <w:b w:val="0"/>
        </w:rPr>
        <w:t xml:space="preserve"> A classifier model reads each one into one of sixteen intents with a stated reason, alongside urgency, sentiment, language and difficulty, then routes it to the right desk.</w:t>
      </w:r>
    </w:p>
    <w:p>
      <w:pPr>
        <w:spacing w:after="120"/>
        <w:ind w:left="230"/>
        <w:jc w:val="both"/>
      </w:pPr>
      <w:r>
        <w:rPr>
          <w:b/>
          <w:color w:val="1F3B73"/>
        </w:rPr>
        <w:t>Answers from the record:</w:t>
      </w:r>
      <w:r>
        <w:rPr>
          <w:b w:val="0"/>
        </w:rPr>
        <w:t xml:space="preserve"> The model answers from the customer's own records and the knowledge explaining them, nothing relevant left behind, and says what it does not know.</w:t>
      </w:r>
    </w:p>
    <w:p>
      <w:pPr>
        <w:spacing w:after="120"/>
        <w:ind w:left="230"/>
        <w:jc w:val="both"/>
      </w:pPr>
      <w:r>
        <w:rPr>
          <w:b/>
          <w:color w:val="1F3B73"/>
        </w:rPr>
        <w:t>Briefs the agent:</w:t>
      </w:r>
      <w:r>
        <w:rPr>
          <w:b w:val="0"/>
        </w:rPr>
        <w:t xml:space="preserve"> Identity, open cases, an AI-written summary, sentiment, attrition risk, the evidence and a drafted reply, with the next move named and every past request on one screen.</w:t>
      </w:r>
    </w:p>
    <w:p>
      <w:pPr>
        <w:spacing w:before="260" w:after="120"/>
      </w:pPr>
      <w:r>
        <w:rPr>
          <w:b/>
          <w:color w:val="1F3B73"/>
          <w:sz w:val="26"/>
        </w:rPr>
        <w:t>The value it creates</w:t>
      </w:r>
    </w:p>
    <w:p>
      <w:pPr>
        <w:spacing w:after="140"/>
        <w:jc w:val="both"/>
      </w:pPr>
      <w:r>
        <w:rPr>
          <w:b/>
        </w:rPr>
        <w:t>Built and validated end-to-end</w:t>
      </w:r>
      <w:r>
        <w:rPr>
          <w:b w:val="0"/>
        </w:rPr>
        <w:t>, running today on live channels and deployable as a PoC in days.</w:t>
      </w:r>
    </w:p>
    <w:p>
      <w:pPr>
        <w:spacing w:after="140"/>
        <w:jc w:val="both"/>
      </w:pPr>
      <w:r>
        <w:rPr>
          <w:b/>
        </w:rPr>
        <w:t>Resolution moves from half a day to the same minute.</w:t>
      </w:r>
      <w:r>
        <w:rPr>
          <w:b w:val="0"/>
        </w:rPr>
        <w:t xml:space="preserve"> The routine question never waits for a queue, and the escalated one reaches an agent who has already been briefed.</w:t>
      </w:r>
    </w:p>
    <w:p>
      <w:pPr>
        <w:spacing w:after="140"/>
        <w:jc w:val="both"/>
      </w:pPr>
      <w:r>
        <w:rPr>
          <w:b/>
        </w:rPr>
        <w:t>First-contact resolution rises.</w:t>
      </w:r>
      <w:r>
        <w:rPr>
          <w:b w:val="0"/>
        </w:rPr>
        <w:t xml:space="preserve"> A good rate sits between 70% and 79%. Every point gained takes a point off operating cost and adds one to CSAT, worth roughly </w:t>
      </w:r>
      <w:r>
        <w:rPr>
          <w:b/>
        </w:rPr>
        <w:t>$286,000 a year</w:t>
      </w:r>
      <w:r>
        <w:rPr>
          <w:b w:val="0"/>
        </w:rPr>
        <w:t xml:space="preserve"> to a midsize centre.</w:t>
      </w:r>
    </w:p>
    <w:p>
      <w:pPr>
        <w:spacing w:after="140"/>
        <w:jc w:val="both"/>
      </w:pPr>
      <w:r>
        <w:rPr>
          <w:b/>
        </w:rPr>
        <w:t>Repeat contacts fall.</w:t>
      </w:r>
      <w:r>
        <w:rPr>
          <w:b w:val="0"/>
        </w:rPr>
        <w:t xml:space="preserve"> A quarter of the queue is someone asking again, and a case that stays open across channels goes straight at it.</w:t>
      </w:r>
    </w:p>
    <w:p>
      <w:pPr>
        <w:spacing w:after="140"/>
        <w:jc w:val="both"/>
      </w:pPr>
      <w:r>
        <w:rPr>
          <w:b/>
        </w:rPr>
        <w:t>Agents stop assembling and start deciding.</w:t>
      </w:r>
      <w:r>
        <w:rPr>
          <w:b w:val="0"/>
        </w:rPr>
        <w:t xml:space="preserve"> The searching, reading and drafting is done before they arrive, so their time goes on judgement, which is what they are paid for.</w:t>
      </w:r>
    </w:p>
    <w:p>
      <w:pPr>
        <w:spacing w:before="260" w:after="120"/>
      </w:pPr>
      <w:r>
        <w:rPr>
          <w:b/>
          <w:color w:val="1F3B73"/>
          <w:sz w:val="26"/>
        </w:rPr>
        <w:t>Key advantages of OmnichannelCX</w:t>
      </w:r>
    </w:p>
    <w:p>
      <w:pPr>
        <w:spacing w:after="120"/>
        <w:ind w:left="230"/>
        <w:jc w:val="both"/>
      </w:pPr>
      <w:r>
        <w:rPr>
          <w:b/>
          <w:color w:val="1F3B73"/>
        </w:rPr>
        <w:t>Days to Deploy:</w:t>
      </w:r>
      <w:r>
        <w:rPr>
          <w:b w:val="0"/>
        </w:rPr>
        <w:t xml:space="preserve"> A PoC stood up on a cloud instance in days, live on three channels from the start.</w:t>
      </w:r>
    </w:p>
    <w:p>
      <w:pPr>
        <w:spacing w:after="120"/>
        <w:ind w:left="230"/>
        <w:jc w:val="both"/>
      </w:pPr>
      <w:r>
        <w:rPr>
          <w:b/>
          <w:color w:val="1F3B73"/>
        </w:rPr>
        <w:t>Grounded Intelligence:</w:t>
      </w:r>
      <w:r>
        <w:rPr>
          <w:b w:val="0"/>
        </w:rPr>
        <w:t xml:space="preserve"> Guidance reaches a customer because they hold the product, not because their wording matched a document. Beyond similarity-search RAG.</w:t>
      </w:r>
    </w:p>
    <w:p>
      <w:pPr>
        <w:spacing w:after="120"/>
        <w:ind w:left="230"/>
        <w:jc w:val="both"/>
      </w:pPr>
      <w:r>
        <w:rPr>
          <w:b/>
          <w:color w:val="1F3B73"/>
        </w:rPr>
        <w:t>Human-in-the-Loop Governance:</w:t>
      </w:r>
      <w:r>
        <w:rPr>
          <w:b w:val="0"/>
        </w:rPr>
        <w:t xml:space="preserve"> Nine checks decide whether a person sees the reply, one an LLM reading the customer's own words so a politely-worded complaint still reaches a human. Held replies become editable, priority-scored drafts, and the agent who sends stays accountable.</w:t>
      </w:r>
    </w:p>
    <w:p>
      <w:pPr>
        <w:spacing w:after="120"/>
        <w:ind w:left="230"/>
        <w:jc w:val="both"/>
      </w:pPr>
      <w:r>
        <w:rPr>
          <w:b/>
          <w:color w:val="1F3B73"/>
        </w:rPr>
        <w:t>Learns From Every Send:</w:t>
      </w:r>
      <w:r>
        <w:rPr>
          <w:b w:val="0"/>
        </w:rPr>
        <w:t xml:space="preserve"> A reply an agent sends unedited is reused on the next matching problem, and the model drafts cross-sell offers off the same walk, sentiment-gated and never sent unapproved.</w:t>
      </w:r>
    </w:p>
    <w:p>
      <w:pPr>
        <w:spacing w:after="120"/>
        <w:ind w:left="230"/>
        <w:jc w:val="both"/>
      </w:pPr>
      <w:r>
        <w:rPr>
          <w:b/>
          <w:color w:val="1F3B73"/>
        </w:rPr>
        <w:t>Cases Close Themselves:</w:t>
      </w:r>
      <w:r>
        <w:rPr>
          <w:b w:val="0"/>
        </w:rPr>
        <w:t xml:space="preserve"> A model reads "all good now" for what it is and closes the case, rather than leaving it open for someone to tidy up.</w:t>
      </w:r>
    </w:p>
    <w:p>
      <w:pPr>
        <w:spacing w:after="120"/>
        <w:ind w:left="230"/>
        <w:jc w:val="both"/>
      </w:pPr>
      <w:r>
        <w:rPr>
          <w:b/>
          <w:color w:val="1F3B73"/>
        </w:rPr>
        <w:t>One Database, Not Four:</w:t>
      </w:r>
      <w:r>
        <w:rPr>
          <w:b w:val="0"/>
        </w:rPr>
        <w:t xml:space="preserve"> Neo4j is the knowledge graph and the vector store at once. No separate vector database to buy, sync or secure.</w:t>
      </w:r>
    </w:p>
    <w:p>
      <w:pPr>
        <w:spacing w:after="120"/>
        <w:ind w:left="230"/>
        <w:jc w:val="both"/>
      </w:pPr>
      <w:r>
        <w:rPr>
          <w:b/>
          <w:color w:val="1F3B73"/>
        </w:rPr>
        <w:t>Glass-Box Execution:</w:t>
      </w:r>
      <w:r>
        <w:rPr>
          <w:b w:val="0"/>
        </w:rPr>
        <w:t xml:space="preserve"> Every answer keeps its evidence and every AI call is metered, with volumes, response times, SLA breaches, sentiment and cost-per-interaction on one console.</w:t>
      </w:r>
    </w:p>
    <w:p>
      <w:pPr>
        <w:spacing w:after="120"/>
        <w:ind w:left="230"/>
        <w:jc w:val="both"/>
      </w:pPr>
      <w:r>
        <w:rPr>
          <w:b/>
          <w:color w:val="1F3B73"/>
        </w:rPr>
        <w:t>Privacy by Design:</w:t>
      </w:r>
      <w:r>
        <w:rPr>
          <w:b w:val="0"/>
        </w:rPr>
        <w:t xml:space="preserve"> PAN, Aadhaar, phone and card numbers are masked deterministically before any text reaches an external model. Knowledge is indexed locally, never uploaded.</w:t>
      </w:r>
    </w:p>
    <w:p>
      <w:pPr>
        <w:spacing w:after="120"/>
        <w:ind w:left="230"/>
        <w:jc w:val="both"/>
      </w:pPr>
      <w:r>
        <w:rPr>
          <w:b/>
          <w:color w:val="1F3B73"/>
        </w:rPr>
        <w:t>Fits Your Stack:</w:t>
      </w:r>
      <w:r>
        <w:rPr>
          <w:b w:val="0"/>
        </w:rPr>
        <w:t xml:space="preserve"> Cases write through to whatever service desk you run, Jira today and any standard REST CRM by configuration.</w:t>
      </w:r>
    </w:p>
    <w:p>
      <w:pPr>
        <w:spacing w:after="120"/>
        <w:ind w:left="230"/>
        <w:jc w:val="both"/>
      </w:pPr>
      <w:r>
        <w:rPr>
          <w:b/>
          <w:color w:val="1F3B73"/>
        </w:rPr>
        <w:t>Modular and Portable:</w:t>
      </w:r>
      <w:r>
        <w:rPr>
          <w:b w:val="0"/>
        </w:rPr>
        <w:t xml:space="preserve"> Nothing branches on channel, so voice, Outlook or a social inbox is one adapter away. The graph names no product type, so telecom, insurance, healthcare and retail are a configuration choice.</w:t>
      </w:r>
    </w:p>
    <w:p>
      <w:pPr>
        <w:spacing w:after="120"/>
        <w:ind w:left="230"/>
        <w:jc w:val="both"/>
      </w:pPr>
      <w:r>
        <w:rPr>
          <w:b/>
          <w:color w:val="1F3B73"/>
        </w:rPr>
        <w:t>Next, Proactive:</w:t>
      </w:r>
      <w:r>
        <w:rPr>
          <w:b w:val="0"/>
        </w:rPr>
        <w:t xml:space="preserve"> The same graph already knows an EMI falls due and KYC expires, so reaching out before the customer has to is the natural extension.</w:t>
      </w:r>
    </w:p>
    <w:p>
      <w:pPr>
        <w:spacing w:after="140"/>
        <w:jc w:val="both"/>
      </w:pPr>
      <w:r>
        <w:rPr>
          <w:b/>
        </w:rPr>
        <w:t>Bring us one channel and a slice of your customer book, and within a week we will show you a case following a customer from one channel to another.</w:t>
      </w:r>
    </w:p>
    <w:p>
      <w:r>
        <w:br w:type="page"/>
      </w:r>
    </w:p>
    <w:p>
      <w:pPr>
        <w:spacing w:before="260" w:after="120"/>
      </w:pPr>
      <w:r>
        <w:rPr>
          <w:b/>
          <w:color w:val="1F3B73"/>
          <w:sz w:val="26"/>
        </w:rPr>
        <w:t>Sources</w:t>
      </w:r>
    </w:p>
    <w:p>
      <w:r>
        <w:rPr>
          <w:i/>
          <w:color w:val="666666"/>
          <w:sz w:val="18"/>
        </w:rPr>
        <w:t>For internal reference and objection-handling.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6192"/>
      </w:tblGrid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b/>
                <w:color w:val="1F3B73"/>
                <w:sz w:val="17"/>
              </w:rPr>
              <w:t>Figure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b/>
                <w:color w:val="1F3B73"/>
                <w:sz w:val="17"/>
              </w:rPr>
              <w:t>Source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56% of customers say they repeat themselves during support interactions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Salesforce, State of the Connected Customer, n=14,300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28% of inbound calls are repeat calls; ~30% of customers must call back on the same issue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SQM Group (via MavenAGI)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~12 hours average first reply on email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EmailAnalytics and Ringly 2026 (12h10m across 1,000 companies)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13% of companies say customer data, history and context carry over fully across channels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Deloitte Digital (via Plivo). Some aggregators attribute this to Qualtrics; no primary source read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CSAT 28% (disconnected multichannel) to 67% (smooth omnichannel)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SQM Group (via Plivo and Kayako)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30-40% of claim-related call time is silent, the agent searching rather than helping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McKinsey (via Kayako)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FCR benchmark: 70-79% is a good rate; retail, nonprofit and insurance lead at ~75%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SQM Group 2024 benchmark (via MavenAGI). No separate financial-services figure is published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1% FCR = 1% operating cost + 1% CSAT, about $286,000/yr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SQM Group (via MavenAGI)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Telecom 95% / banking 92% AI adoption in customer service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2026 industry adoption round-ups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₹0.34 AI cost per interaction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Measured on our own instrumentation: 9 metered LLM operations, ~14,500 tokens, at published model rates (Sept 2026). Token count from a single traced interaction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~₹100 per human-resolved interaction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Fullview / Kayako 2025. Fullview publishes $6.00 per human-handled interaction against $0.50 for AI; ₹100 is the conservative India-adjusted figure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5 agents · 16 intents · 9 record types · 9 active escalation checks · 9 AI operations per interaction · 5-turn context window · 3 channels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7"/>
              </w:rPr>
              <w:t>Counted in our codebase. Three further escalation rules exist but are marked removed in code and are not counted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222222"/>
      <w:sz w:val="21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