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4E79"/>
          <w:sz w:val="44"/>
        </w:rPr>
        <w:t>Omnichannel CX Solution Approach - Production Scope - BFSI</w:t>
      </w:r>
    </w:p>
    <w:p>
      <w:pPr>
        <w:spacing w:after="80"/>
      </w:pPr>
      <w:r>
        <w:rPr>
          <w:b/>
          <w:color w:val="1F4E79"/>
          <w:sz w:val="24"/>
        </w:rPr>
        <w:t>Contents</w:t>
      </w:r>
    </w:p>
    <w:p>
      <w:r>
        <w:fldChar w:fldCharType="begin"/>
        <w:instrText xml:space="preserve">TOC \o "1-2" \h \z \u</w:instrText>
        <w:fldChar w:fldCharType="separate"/>
        <w:t>Right-click and choose 'Update Field' to build the table of contents.</w:t>
        <w:fldChar w:fldCharType="end"/>
      </w:r>
    </w:p>
    <w:p>
      <w:pPr>
        <w:spacing w:after="0"/>
      </w:pPr>
      <w:r>
        <w:br w:type="page"/>
      </w:r>
    </w:p>
    <w:p>
      <w:pPr>
        <w:pStyle w:val="Heading2"/>
        <w:keepNext/>
      </w:pPr>
      <w:r/>
      <w:r>
        <w:rPr>
          <w:b/>
          <w:i w:val="0"/>
        </w:rPr>
        <w:t>1. Overview</w:t>
      </w:r>
    </w:p>
    <w:p>
      <w:r>
        <w:rPr>
          <w:b w:val="0"/>
          <w:i w:val="0"/>
        </w:rPr>
        <w:t>Our Omnichannel CX accelerator is a working AI-led customer support platform built for the BFSI domain. It demonstrates the capabilities that matter most in regulated customer service: a single view of the customer across every channel, continuity of a case as it moves between channels and over time, answers grounded strictly in approved knowledge and the customer's own records, and a controlled decision about when a human must take over.</w:t>
      </w:r>
    </w:p>
    <w:p>
      <w:r>
        <w:rPr>
          <w:b w:val="0"/>
          <w:i w:val="0"/>
        </w:rPr>
        <w:t>This document sets out how that accelerator translates into a production deployment for a bank, NBFC or insurer. It is organised in three columns throughout:</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Column</w:t>
            </w:r>
          </w:p>
        </w:tc>
        <w:tc>
          <w:tcPr>
            <w:tcW w:type="dxa" w:w="5112"/>
            <w:shd w:val="clear" w:color="auto" w:fill="DCE6F1"/>
          </w:tcPr>
          <w:p>
            <w:pPr>
              <w:spacing w:after="20" w:before="20"/>
            </w:pPr>
            <w:r/>
            <w:r>
              <w:rPr>
                <w:b/>
                <w:i w:val="0"/>
                <w:sz w:val="17"/>
              </w:rPr>
              <w:t>Meaning</w:t>
            </w:r>
          </w:p>
        </w:tc>
      </w:tr>
      <w:tr>
        <w:tc>
          <w:tcPr>
            <w:tcW w:type="dxa" w:w="5112"/>
          </w:tcPr>
          <w:p>
            <w:pPr>
              <w:spacing w:after="20" w:before="20"/>
            </w:pPr>
            <w:r/>
            <w:r>
              <w:rPr>
                <w:b/>
                <w:i w:val="0"/>
                <w:sz w:val="17"/>
              </w:rPr>
              <w:t>Capability</w:t>
            </w:r>
          </w:p>
        </w:tc>
        <w:tc>
          <w:tcPr>
            <w:tcW w:type="dxa" w:w="5112"/>
          </w:tcPr>
          <w:p>
            <w:pPr>
              <w:spacing w:after="20" w:before="20"/>
            </w:pPr>
            <w:r/>
            <w:r>
              <w:rPr>
                <w:b w:val="0"/>
                <w:i w:val="0"/>
                <w:sz w:val="17"/>
              </w:rPr>
              <w:t>The capability under discussion</w:t>
            </w:r>
          </w:p>
        </w:tc>
      </w:tr>
      <w:tr>
        <w:tc>
          <w:tcPr>
            <w:tcW w:type="dxa" w:w="5112"/>
          </w:tcPr>
          <w:p>
            <w:pPr>
              <w:spacing w:after="20" w:before="20"/>
            </w:pPr>
            <w:r/>
            <w:r>
              <w:rPr>
                <w:b/>
                <w:i w:val="0"/>
                <w:sz w:val="17"/>
              </w:rPr>
              <w:t>Accelerator demonstrates</w:t>
            </w:r>
          </w:p>
        </w:tc>
        <w:tc>
          <w:tcPr>
            <w:tcW w:type="dxa" w:w="5112"/>
          </w:tcPr>
          <w:p>
            <w:pPr>
              <w:spacing w:after="20" w:before="20"/>
            </w:pPr>
            <w:r/>
            <w:r>
              <w:rPr>
                <w:b w:val="0"/>
                <w:i w:val="0"/>
                <w:sz w:val="17"/>
              </w:rPr>
              <w:t>What is already built and working in the accelerator</w:t>
            </w:r>
          </w:p>
        </w:tc>
      </w:tr>
      <w:tr>
        <w:tc>
          <w:tcPr>
            <w:tcW w:type="dxa" w:w="5112"/>
          </w:tcPr>
          <w:p>
            <w:pPr>
              <w:spacing w:after="20" w:before="20"/>
            </w:pPr>
            <w:r/>
            <w:r>
              <w:rPr>
                <w:b/>
                <w:i w:val="0"/>
                <w:sz w:val="17"/>
              </w:rPr>
              <w:t>Production scope</w:t>
            </w:r>
          </w:p>
        </w:tc>
        <w:tc>
          <w:tcPr>
            <w:tcW w:type="dxa" w:w="5112"/>
          </w:tcPr>
          <w:p>
            <w:pPr>
              <w:spacing w:after="20" w:before="20"/>
            </w:pPr>
            <w:r/>
            <w:r>
              <w:rPr>
                <w:b w:val="0"/>
                <w:i w:val="0"/>
                <w:sz w:val="17"/>
              </w:rPr>
              <w:t>What a full production deployment adds</w:t>
            </w:r>
          </w:p>
        </w:tc>
      </w:tr>
    </w:tbl>
    <w:p>
      <w:pPr>
        <w:spacing w:after="60"/>
      </w:pPr>
    </w:p>
    <w:p>
      <w:pPr>
        <w:spacing w:before="40" w:after="40"/>
        <w:pBdr>
          <w:bottom w:val="single" w:sz="6" w:color="BFBFBF"/>
        </w:pBdr>
      </w:pPr>
    </w:p>
    <w:p>
      <w:pPr>
        <w:pStyle w:val="Heading2"/>
        <w:keepNext/>
      </w:pPr>
      <w:r/>
      <w:r>
        <w:rPr>
          <w:b/>
          <w:i w:val="0"/>
        </w:rPr>
        <w:t>2. What the accelerator already demonstrates</w:t>
      </w:r>
    </w:p>
    <w:p>
      <w:r>
        <w:rPr>
          <w:b w:val="0"/>
          <w:i w:val="0"/>
        </w:rPr>
        <w:t>These capabilities are working in a running system, not design intent. The platform is deliberately hybrid: language models handle understanding and generation, while identity, data retrieval, safety floors and audit are deterministic code. The last column states which applies, because in a regulated environment it matters whether a decision is probabilistic or guaranteed.</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What it does</w:t>
            </w:r>
          </w:p>
        </w:tc>
        <w:tc>
          <w:tcPr>
            <w:tcW w:type="dxa" w:w="3408"/>
            <w:shd w:val="clear" w:color="auto" w:fill="DCE6F1"/>
          </w:tcPr>
          <w:p>
            <w:pPr>
              <w:spacing w:after="20" w:before="20"/>
            </w:pPr>
            <w:r/>
            <w:r>
              <w:rPr>
                <w:b/>
                <w:i w:val="0"/>
                <w:sz w:val="17"/>
              </w:rPr>
              <w:t>AI / deterministic</w:t>
            </w:r>
          </w:p>
        </w:tc>
      </w:tr>
      <w:tr>
        <w:tc>
          <w:tcPr>
            <w:tcW w:type="dxa" w:w="3408"/>
          </w:tcPr>
          <w:p>
            <w:pPr>
              <w:spacing w:after="20" w:before="20"/>
            </w:pPr>
            <w:r/>
            <w:r>
              <w:rPr>
                <w:b/>
                <w:i w:val="0"/>
                <w:sz w:val="17"/>
              </w:rPr>
              <w:t>Omnichannel identity</w:t>
            </w:r>
          </w:p>
        </w:tc>
        <w:tc>
          <w:tcPr>
            <w:tcW w:type="dxa" w:w="3408"/>
          </w:tcPr>
          <w:p>
            <w:pPr>
              <w:spacing w:after="20" w:before="20"/>
            </w:pPr>
            <w:r/>
            <w:r>
              <w:rPr>
                <w:b w:val="0"/>
                <w:i w:val="0"/>
                <w:sz w:val="17"/>
              </w:rPr>
              <w:t>An email address or phone number resolves to one verified customer record whichever channel it arrives on, including country-code variants of the same number. Contacts that match no real customer are identified as unregistered and never served invented holdings or history</w:t>
            </w:r>
          </w:p>
        </w:tc>
        <w:tc>
          <w:tcPr>
            <w:tcW w:type="dxa" w:w="3408"/>
          </w:tcPr>
          <w:p>
            <w:pPr>
              <w:spacing w:after="20" w:before="20"/>
            </w:pPr>
            <w:r/>
            <w:r>
              <w:rPr>
                <w:b w:val="0"/>
                <w:i w:val="0"/>
                <w:sz w:val="17"/>
              </w:rPr>
              <w:t>Deterministic</w:t>
            </w:r>
          </w:p>
        </w:tc>
      </w:tr>
      <w:tr>
        <w:tc>
          <w:tcPr>
            <w:tcW w:type="dxa" w:w="3408"/>
          </w:tcPr>
          <w:p>
            <w:pPr>
              <w:spacing w:after="20" w:before="20"/>
            </w:pPr>
            <w:r/>
            <w:r>
              <w:rPr>
                <w:b/>
                <w:i w:val="0"/>
                <w:sz w:val="17"/>
              </w:rPr>
              <w:t>Customer 360 knowledge graph</w:t>
            </w:r>
          </w:p>
        </w:tc>
        <w:tc>
          <w:tcPr>
            <w:tcW w:type="dxa" w:w="3408"/>
          </w:tcPr>
          <w:p>
            <w:pPr>
              <w:spacing w:after="20" w:before="20"/>
            </w:pPr>
            <w:r/>
            <w:r>
              <w:rPr>
                <w:b w:val="0"/>
                <w:i w:val="0"/>
                <w:sz w:val="17"/>
              </w:rPr>
              <w:t>Accounts, deposits, cards, loans, policies, claims, charges, transactions and open cases are held as a connected graph and retrieved as trusted context for every interaction</w:t>
            </w:r>
          </w:p>
        </w:tc>
        <w:tc>
          <w:tcPr>
            <w:tcW w:type="dxa" w:w="3408"/>
          </w:tcPr>
          <w:p>
            <w:pPr>
              <w:spacing w:after="20" w:before="20"/>
            </w:pPr>
            <w:r/>
            <w:r>
              <w:rPr>
                <w:b w:val="0"/>
                <w:i w:val="0"/>
                <w:sz w:val="17"/>
              </w:rPr>
              <w:t>Deterministic</w:t>
            </w:r>
          </w:p>
        </w:tc>
      </w:tr>
      <w:tr>
        <w:tc>
          <w:tcPr>
            <w:tcW w:type="dxa" w:w="3408"/>
          </w:tcPr>
          <w:p>
            <w:pPr>
              <w:spacing w:after="20" w:before="20"/>
            </w:pPr>
            <w:r/>
            <w:r>
              <w:rPr>
                <w:b/>
                <w:i w:val="0"/>
                <w:sz w:val="17"/>
              </w:rPr>
              <w:t>Case continuity</w:t>
            </w:r>
          </w:p>
        </w:tc>
        <w:tc>
          <w:tcPr>
            <w:tcW w:type="dxa" w:w="3408"/>
          </w:tcPr>
          <w:p>
            <w:pPr>
              <w:spacing w:after="20" w:before="20"/>
            </w:pPr>
            <w:r/>
            <w:r>
              <w:rPr>
                <w:b w:val="0"/>
                <w:i w:val="0"/>
                <w:sz w:val="17"/>
              </w:rPr>
              <w:t>Messages arriving days apart on different channels are grouped into the same case. A referee model decides whether a new message belongs to an existing case by reading what it says, rather than matching keywords</w:t>
            </w:r>
          </w:p>
        </w:tc>
        <w:tc>
          <w:tcPr>
            <w:tcW w:type="dxa" w:w="3408"/>
          </w:tcPr>
          <w:p>
            <w:pPr>
              <w:spacing w:after="20" w:before="20"/>
            </w:pPr>
            <w:r/>
            <w:r>
              <w:rPr>
                <w:b w:val="0"/>
                <w:i w:val="0"/>
                <w:sz w:val="17"/>
              </w:rPr>
              <w:t>AI referee; graph relationships are the authority</w:t>
            </w:r>
          </w:p>
        </w:tc>
      </w:tr>
      <w:tr>
        <w:tc>
          <w:tcPr>
            <w:tcW w:type="dxa" w:w="3408"/>
          </w:tcPr>
          <w:p>
            <w:pPr>
              <w:spacing w:after="20" w:before="20"/>
            </w:pPr>
            <w:r/>
            <w:r>
              <w:rPr>
                <w:b/>
                <w:i w:val="0"/>
                <w:sz w:val="17"/>
              </w:rPr>
              <w:t>Triage</w:t>
            </w:r>
          </w:p>
        </w:tc>
        <w:tc>
          <w:tcPr>
            <w:tcW w:type="dxa" w:w="3408"/>
          </w:tcPr>
          <w:p>
            <w:pPr>
              <w:spacing w:after="20" w:before="20"/>
            </w:pPr>
            <w:r/>
            <w:r>
              <w:rPr>
                <w:b w:val="0"/>
                <w:i w:val="0"/>
                <w:sz w:val="17"/>
              </w:rPr>
              <w:t>Every message is classified into one of sixteen BFSI intents with a confidence score and stated reason, plus urgency, sentiment and language. The classifier reads the last five turns in both directions, so it understands messages that only make sense in context</w:t>
            </w:r>
          </w:p>
        </w:tc>
        <w:tc>
          <w:tcPr>
            <w:tcW w:type="dxa" w:w="3408"/>
          </w:tcPr>
          <w:p>
            <w:pPr>
              <w:spacing w:after="20" w:before="20"/>
            </w:pPr>
            <w:r/>
            <w:r>
              <w:rPr>
                <w:b w:val="0"/>
                <w:i w:val="0"/>
                <w:sz w:val="17"/>
              </w:rPr>
              <w:t>AI, with rule-based fallback</w:t>
            </w:r>
          </w:p>
        </w:tc>
      </w:tr>
      <w:tr>
        <w:tc>
          <w:tcPr>
            <w:tcW w:type="dxa" w:w="3408"/>
          </w:tcPr>
          <w:p>
            <w:pPr>
              <w:spacing w:after="20" w:before="20"/>
            </w:pPr>
            <w:r/>
            <w:r>
              <w:rPr>
                <w:b/>
                <w:i w:val="0"/>
                <w:sz w:val="17"/>
              </w:rPr>
              <w:t>Grounded answering</w:t>
            </w:r>
          </w:p>
        </w:tc>
        <w:tc>
          <w:tcPr>
            <w:tcW w:type="dxa" w:w="3408"/>
          </w:tcPr>
          <w:p>
            <w:pPr>
              <w:spacing w:after="20" w:before="20"/>
            </w:pPr>
            <w:r/>
            <w:r>
              <w:rPr>
                <w:b w:val="0"/>
                <w:i w:val="0"/>
                <w:sz w:val="17"/>
              </w:rPr>
              <w:t>Replies are composed only from approved knowledge-base content and the customer's own verified records. Balances, cards, loans, claims and transactions are answered from the customer's actual data, with figures carrying their own qualifiers. The system states what it does not know rather than filling the gap</w:t>
            </w:r>
          </w:p>
        </w:tc>
        <w:tc>
          <w:tcPr>
            <w:tcW w:type="dxa" w:w="3408"/>
          </w:tcPr>
          <w:p>
            <w:pPr>
              <w:spacing w:after="20" w:before="20"/>
            </w:pPr>
            <w:r/>
            <w:r>
              <w:rPr>
                <w:b w:val="0"/>
                <w:i w:val="0"/>
                <w:sz w:val="17"/>
              </w:rPr>
              <w:t>AI generation over deterministic retrieval</w:t>
            </w:r>
          </w:p>
        </w:tc>
      </w:tr>
      <w:tr>
        <w:tc>
          <w:tcPr>
            <w:tcW w:type="dxa" w:w="3408"/>
          </w:tcPr>
          <w:p>
            <w:pPr>
              <w:spacing w:after="20" w:before="20"/>
            </w:pPr>
            <w:r/>
            <w:r>
              <w:rPr>
                <w:b/>
                <w:i w:val="0"/>
                <w:sz w:val="17"/>
              </w:rPr>
              <w:t>Knowledge retrieval</w:t>
            </w:r>
          </w:p>
        </w:tc>
        <w:tc>
          <w:tcPr>
            <w:tcW w:type="dxa" w:w="3408"/>
          </w:tcPr>
          <w:p>
            <w:pPr>
              <w:spacing w:after="20" w:before="20"/>
            </w:pPr>
            <w:r/>
            <w:r>
              <w:rPr>
                <w:b w:val="0"/>
                <w:i w:val="0"/>
                <w:sz w:val="17"/>
              </w:rPr>
              <w:t>Hybrid vector and keyword search over the approved knowledge base, using a locally hosted embedding model so document content never leaves the environment for indexing</w:t>
            </w:r>
          </w:p>
        </w:tc>
        <w:tc>
          <w:tcPr>
            <w:tcW w:type="dxa" w:w="3408"/>
          </w:tcPr>
          <w:p>
            <w:pPr>
              <w:spacing w:after="20" w:before="20"/>
            </w:pPr>
            <w:r/>
            <w:r>
              <w:rPr>
                <w:b w:val="0"/>
                <w:i w:val="0"/>
                <w:sz w:val="17"/>
              </w:rPr>
              <w:t>Deterministic; local model</w:t>
            </w:r>
          </w:p>
        </w:tc>
      </w:tr>
      <w:tr>
        <w:tc>
          <w:tcPr>
            <w:tcW w:type="dxa" w:w="3408"/>
          </w:tcPr>
          <w:p>
            <w:pPr>
              <w:spacing w:after="20" w:before="20"/>
            </w:pPr>
            <w:r/>
            <w:r>
              <w:rPr>
                <w:b/>
                <w:i w:val="0"/>
                <w:sz w:val="17"/>
              </w:rPr>
              <w:t>Human-in-the-loop</w:t>
            </w:r>
          </w:p>
        </w:tc>
        <w:tc>
          <w:tcPr>
            <w:tcW w:type="dxa" w:w="3408"/>
          </w:tcPr>
          <w:p>
            <w:pPr>
              <w:spacing w:after="20" w:before="20"/>
            </w:pPr>
            <w:r/>
            <w:r>
              <w:rPr>
                <w:b w:val="0"/>
                <w:i w:val="0"/>
                <w:sz w:val="17"/>
              </w:rPr>
              <w:t>Before any reply is sent, three independent layers decide whether a person must see it first: rule-based escalation over resolution level, intent, confidence and retrieval strength; an AI check that reads the customer's actual words rather than their category label, returning a closed reason set (asked for a human, asserting we already failed them, emergency, distress, needs a decision) and running ahead of the rules that would otherwise exempt the message; and a deterministic pattern floor for explicit human requests that holds even when the model is unavailable. On a hold the AI's reply is not sent - it becomes an editable draft in a review queue labelled with the reason, the customer receives an acknowledgement, and the agent edits and sends</w:t>
            </w:r>
          </w:p>
        </w:tc>
        <w:tc>
          <w:tcPr>
            <w:tcW w:type="dxa" w:w="3408"/>
          </w:tcPr>
          <w:p>
            <w:pPr>
              <w:spacing w:after="20" w:before="20"/>
            </w:pPr>
            <w:r/>
            <w:r>
              <w:rPr>
                <w:b w:val="0"/>
                <w:i w:val="0"/>
                <w:sz w:val="17"/>
              </w:rPr>
              <w:t>Deterministic gate; AI judgement inside it</w:t>
            </w:r>
          </w:p>
        </w:tc>
      </w:tr>
      <w:tr>
        <w:tc>
          <w:tcPr>
            <w:tcW w:type="dxa" w:w="3408"/>
          </w:tcPr>
          <w:p>
            <w:pPr>
              <w:spacing w:after="20" w:before="20"/>
            </w:pPr>
            <w:r/>
            <w:r>
              <w:rPr>
                <w:b/>
                <w:i w:val="0"/>
                <w:sz w:val="17"/>
              </w:rPr>
              <w:t>Multilingual</w:t>
            </w:r>
          </w:p>
        </w:tc>
        <w:tc>
          <w:tcPr>
            <w:tcW w:type="dxa" w:w="3408"/>
          </w:tcPr>
          <w:p>
            <w:pPr>
              <w:spacing w:after="20" w:before="20"/>
            </w:pPr>
            <w:r/>
            <w:r>
              <w:rPr>
                <w:b w:val="0"/>
                <w:i w:val="0"/>
                <w:sz w:val="17"/>
              </w:rPr>
              <w:t>The customer's language is detected from their message and the reply is generated in that language</w:t>
            </w:r>
          </w:p>
        </w:tc>
        <w:tc>
          <w:tcPr>
            <w:tcW w:type="dxa" w:w="3408"/>
          </w:tcPr>
          <w:p>
            <w:pPr>
              <w:spacing w:after="20" w:before="20"/>
            </w:pPr>
            <w:r/>
            <w:r>
              <w:rPr>
                <w:b w:val="0"/>
                <w:i w:val="0"/>
                <w:sz w:val="17"/>
              </w:rPr>
              <w:t>AI</w:t>
            </w:r>
          </w:p>
        </w:tc>
      </w:tr>
      <w:tr>
        <w:tc>
          <w:tcPr>
            <w:tcW w:type="dxa" w:w="3408"/>
          </w:tcPr>
          <w:p>
            <w:pPr>
              <w:spacing w:after="20" w:before="20"/>
            </w:pPr>
            <w:r/>
            <w:r>
              <w:rPr>
                <w:b/>
                <w:i w:val="0"/>
                <w:sz w:val="17"/>
              </w:rPr>
              <w:t>Agent assist</w:t>
            </w:r>
          </w:p>
        </w:tc>
        <w:tc>
          <w:tcPr>
            <w:tcW w:type="dxa" w:w="3408"/>
          </w:tcPr>
          <w:p>
            <w:pPr>
              <w:spacing w:after="20" w:before="20"/>
            </w:pPr>
            <w:r/>
            <w:r>
              <w:rPr>
                <w:b w:val="0"/>
                <w:i w:val="0"/>
                <w:sz w:val="17"/>
              </w:rPr>
              <w:t>The agent picking up a case sees a generated case summary, next-best-action recommendations filtered to open cases, and the retrieved evidence behind each AI answer so it can be verified before sending</w:t>
            </w:r>
          </w:p>
        </w:tc>
        <w:tc>
          <w:tcPr>
            <w:tcW w:type="dxa" w:w="3408"/>
          </w:tcPr>
          <w:p>
            <w:pPr>
              <w:spacing w:after="20" w:before="20"/>
            </w:pPr>
            <w:r/>
            <w:r>
              <w:rPr>
                <w:b w:val="0"/>
                <w:i w:val="0"/>
                <w:sz w:val="17"/>
              </w:rPr>
              <w:t>AI summary; rule-based recommendations</w:t>
            </w:r>
          </w:p>
        </w:tc>
      </w:tr>
      <w:tr>
        <w:tc>
          <w:tcPr>
            <w:tcW w:type="dxa" w:w="3408"/>
          </w:tcPr>
          <w:p>
            <w:pPr>
              <w:spacing w:after="20" w:before="20"/>
            </w:pPr>
            <w:r/>
            <w:r>
              <w:rPr>
                <w:b/>
                <w:i w:val="0"/>
                <w:sz w:val="17"/>
              </w:rPr>
              <w:t>Cross-sell and up-sell</w:t>
            </w:r>
          </w:p>
        </w:tc>
        <w:tc>
          <w:tcPr>
            <w:tcW w:type="dxa" w:w="3408"/>
          </w:tcPr>
          <w:p>
            <w:pPr>
              <w:spacing w:after="20" w:before="20"/>
            </w:pPr>
            <w:r/>
            <w:r>
              <w:rPr>
                <w:b w:val="0"/>
                <w:i w:val="0"/>
                <w:sz w:val="17"/>
              </w:rPr>
              <w:t>Opportunities are identified from what the customer actually holds - a premium-segment customer on an entry-level card, repeated penalty charges a different tier would waive, a product family they have been asking about - and suppressed entirely when sentiment is negative</w:t>
            </w:r>
          </w:p>
        </w:tc>
        <w:tc>
          <w:tcPr>
            <w:tcW w:type="dxa" w:w="3408"/>
          </w:tcPr>
          <w:p>
            <w:pPr>
              <w:spacing w:after="20" w:before="20"/>
            </w:pPr>
            <w:r/>
            <w:r>
              <w:rPr>
                <w:b w:val="0"/>
                <w:i w:val="0"/>
                <w:sz w:val="17"/>
              </w:rPr>
              <w:t>Rule-based identification; AI drafts the wording</w:t>
            </w:r>
          </w:p>
        </w:tc>
      </w:tr>
      <w:tr>
        <w:tc>
          <w:tcPr>
            <w:tcW w:type="dxa" w:w="3408"/>
          </w:tcPr>
          <w:p>
            <w:pPr>
              <w:spacing w:after="20" w:before="20"/>
            </w:pPr>
            <w:r/>
            <w:r>
              <w:rPr>
                <w:b/>
                <w:i w:val="0"/>
                <w:sz w:val="17"/>
              </w:rPr>
              <w:t>Traceability</w:t>
            </w:r>
          </w:p>
        </w:tc>
        <w:tc>
          <w:tcPr>
            <w:tcW w:type="dxa" w:w="3408"/>
          </w:tcPr>
          <w:p>
            <w:pPr>
              <w:spacing w:after="20" w:before="20"/>
            </w:pPr>
            <w:r/>
            <w:r>
              <w:rPr>
                <w:b w:val="0"/>
                <w:i w:val="0"/>
                <w:sz w:val="17"/>
              </w:rPr>
              <w:t>Nine distinct AI operations run across the platform and each is individually recorded with its token usage and configuration version. Retrieval evidence is stored per answer, and conversations, cases and decisions are captured as auditable events</w:t>
            </w:r>
          </w:p>
        </w:tc>
        <w:tc>
          <w:tcPr>
            <w:tcW w:type="dxa" w:w="3408"/>
          </w:tcPr>
          <w:p>
            <w:pPr>
              <w:spacing w:after="20" w:before="20"/>
            </w:pPr>
            <w:r/>
            <w:r>
              <w:rPr>
                <w:b w:val="0"/>
                <w:i w:val="0"/>
                <w:sz w:val="17"/>
              </w:rPr>
              <w:t>Deterministic</w:t>
            </w:r>
          </w:p>
        </w:tc>
      </w:tr>
      <w:tr>
        <w:tc>
          <w:tcPr>
            <w:tcW w:type="dxa" w:w="3408"/>
          </w:tcPr>
          <w:p>
            <w:pPr>
              <w:spacing w:after="20" w:before="20"/>
            </w:pPr>
            <w:r/>
            <w:r>
              <w:rPr>
                <w:b/>
                <w:i w:val="0"/>
                <w:sz w:val="17"/>
              </w:rPr>
              <w:t>PII protection</w:t>
            </w:r>
          </w:p>
        </w:tc>
        <w:tc>
          <w:tcPr>
            <w:tcW w:type="dxa" w:w="3408"/>
          </w:tcPr>
          <w:p>
            <w:pPr>
              <w:spacing w:after="20" w:before="20"/>
            </w:pPr>
            <w:r/>
            <w:r>
              <w:rPr>
                <w:b w:val="0"/>
                <w:i w:val="0"/>
                <w:sz w:val="17"/>
              </w:rPr>
              <w:t>PAN, Aadhaar, phone, email and card numbers are detected and masked before any text reaches an external model provider, by pattern and by exact match against known customer values</w:t>
            </w:r>
          </w:p>
        </w:tc>
        <w:tc>
          <w:tcPr>
            <w:tcW w:type="dxa" w:w="3408"/>
          </w:tcPr>
          <w:p>
            <w:pPr>
              <w:spacing w:after="20" w:before="20"/>
            </w:pPr>
            <w:r/>
            <w:r>
              <w:rPr>
                <w:b w:val="0"/>
                <w:i w:val="0"/>
                <w:sz w:val="17"/>
              </w:rPr>
              <w:t>Deterministic</w:t>
            </w:r>
          </w:p>
        </w:tc>
      </w:tr>
      <w:tr>
        <w:tc>
          <w:tcPr>
            <w:tcW w:type="dxa" w:w="3408"/>
          </w:tcPr>
          <w:p>
            <w:pPr>
              <w:spacing w:after="20" w:before="20"/>
            </w:pPr>
            <w:r/>
            <w:r>
              <w:rPr>
                <w:b/>
                <w:i w:val="0"/>
                <w:sz w:val="17"/>
              </w:rPr>
              <w:t>Channels</w:t>
            </w:r>
          </w:p>
        </w:tc>
        <w:tc>
          <w:tcPr>
            <w:tcW w:type="dxa" w:w="3408"/>
          </w:tcPr>
          <w:p>
            <w:pPr>
              <w:spacing w:after="20" w:before="20"/>
            </w:pPr>
            <w:r/>
            <w:r>
              <w:rPr>
                <w:b w:val="0"/>
                <w:i w:val="0"/>
                <w:sz w:val="17"/>
              </w:rPr>
              <w:t>Email, WhatsApp and web chat all enter the same orchestration pipeline, so triage, case grouping and behaviour are identical regardless of how the customer made contact</w:t>
            </w:r>
          </w:p>
        </w:tc>
        <w:tc>
          <w:tcPr>
            <w:tcW w:type="dxa" w:w="3408"/>
          </w:tcPr>
          <w:p>
            <w:pPr>
              <w:spacing w:after="20" w:before="20"/>
            </w:pPr>
            <w:r/>
            <w:r>
              <w:rPr>
                <w:b w:val="0"/>
                <w:i w:val="0"/>
                <w:sz w:val="17"/>
              </w:rPr>
              <w:t>Deterministic</w:t>
            </w:r>
          </w:p>
        </w:tc>
      </w:tr>
    </w:tbl>
    <w:p>
      <w:pPr>
        <w:spacing w:after="60"/>
      </w:pPr>
    </w:p>
    <w:p>
      <w:pPr>
        <w:pStyle w:val="Heading2"/>
        <w:keepNext/>
      </w:pPr>
      <w:r/>
      <w:r>
        <w:rPr>
          <w:b/>
          <w:i w:val="0"/>
        </w:rPr>
        <w:t>3. Customer journey in production</w:t>
      </w:r>
    </w:p>
    <w:p>
      <w:pPr>
        <w:pStyle w:val="Heading3"/>
        <w:keepNext/>
      </w:pPr>
      <w:r/>
      <w:r>
        <w:rPr>
          <w:b/>
          <w:i w:val="0"/>
        </w:rPr>
        <w:t>3.1 Identity and channels</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Accelerator demonstrates</w:t>
            </w:r>
          </w:p>
        </w:tc>
        <w:tc>
          <w:tcPr>
            <w:tcW w:type="dxa" w:w="3408"/>
            <w:shd w:val="clear" w:color="auto" w:fill="DCE6F1"/>
          </w:tcPr>
          <w:p>
            <w:pPr>
              <w:spacing w:after="20" w:before="20"/>
            </w:pPr>
            <w:r/>
            <w:r>
              <w:rPr>
                <w:b/>
                <w:i w:val="0"/>
                <w:sz w:val="17"/>
              </w:rPr>
              <w:t>Production scope</w:t>
            </w:r>
          </w:p>
        </w:tc>
      </w:tr>
      <w:tr>
        <w:tc>
          <w:tcPr>
            <w:tcW w:type="dxa" w:w="3408"/>
          </w:tcPr>
          <w:p>
            <w:pPr>
              <w:spacing w:after="20" w:before="20"/>
            </w:pPr>
            <w:r/>
            <w:r>
              <w:rPr>
                <w:b w:val="0"/>
                <w:i w:val="0"/>
                <w:sz w:val="17"/>
              </w:rPr>
              <w:t>Customer identification</w:t>
            </w:r>
          </w:p>
        </w:tc>
        <w:tc>
          <w:tcPr>
            <w:tcW w:type="dxa" w:w="3408"/>
          </w:tcPr>
          <w:p>
            <w:pPr>
              <w:spacing w:after="20" w:before="20"/>
            </w:pPr>
            <w:r/>
            <w:r>
              <w:rPr>
                <w:b w:val="0"/>
                <w:i w:val="0"/>
                <w:sz w:val="17"/>
              </w:rPr>
              <w:t>Phone and email resolve to one verified customer record across all channels; unrecognised contacts handled safely</w:t>
            </w:r>
          </w:p>
        </w:tc>
        <w:tc>
          <w:tcPr>
            <w:tcW w:type="dxa" w:w="3408"/>
          </w:tcPr>
          <w:p>
            <w:pPr>
              <w:spacing w:after="20" w:before="20"/>
            </w:pPr>
            <w:r/>
            <w:r>
              <w:rPr>
                <w:b w:val="0"/>
                <w:i w:val="0"/>
                <w:sz w:val="17"/>
              </w:rPr>
              <w:t>Core banking CIF as the system of authority</w:t>
            </w:r>
          </w:p>
        </w:tc>
      </w:tr>
      <w:tr>
        <w:tc>
          <w:tcPr>
            <w:tcW w:type="dxa" w:w="3408"/>
          </w:tcPr>
          <w:p>
            <w:pPr>
              <w:spacing w:after="20" w:before="20"/>
            </w:pPr>
            <w:r/>
            <w:r>
              <w:rPr>
                <w:b w:val="0"/>
                <w:i w:val="0"/>
                <w:sz w:val="17"/>
              </w:rPr>
              <w:t>Authentication</w:t>
            </w:r>
          </w:p>
        </w:tc>
        <w:tc>
          <w:tcPr>
            <w:tcW w:type="dxa" w:w="3408"/>
          </w:tcPr>
          <w:p>
            <w:pPr>
              <w:spacing w:after="20" w:before="20"/>
            </w:pPr>
            <w:r/>
            <w:r>
              <w:rPr>
                <w:b w:val="0"/>
                <w:i w:val="0"/>
                <w:sz w:val="17"/>
              </w:rPr>
              <w:t>Authenticated portal access</w:t>
            </w:r>
          </w:p>
        </w:tc>
        <w:tc>
          <w:tcPr>
            <w:tcW w:type="dxa" w:w="3408"/>
          </w:tcPr>
          <w:p>
            <w:pPr>
              <w:spacing w:after="20" w:before="20"/>
            </w:pPr>
            <w:r/>
            <w:r>
              <w:rPr>
                <w:b w:val="0"/>
                <w:i w:val="0"/>
                <w:sz w:val="17"/>
              </w:rPr>
              <w:t>Step-up authentication before disclosure or any value-bearing action</w:t>
            </w:r>
          </w:p>
        </w:tc>
      </w:tr>
      <w:tr>
        <w:tc>
          <w:tcPr>
            <w:tcW w:type="dxa" w:w="3408"/>
          </w:tcPr>
          <w:p>
            <w:pPr>
              <w:spacing w:after="20" w:before="20"/>
            </w:pPr>
            <w:r/>
            <w:r>
              <w:rPr>
                <w:b w:val="0"/>
                <w:i w:val="0"/>
                <w:sz w:val="17"/>
              </w:rPr>
              <w:t>Third-party authority</w:t>
            </w:r>
          </w:p>
        </w:tc>
        <w:tc>
          <w:tcPr>
            <w:tcW w:type="dxa" w:w="3408"/>
          </w:tcPr>
          <w:p>
            <w:pPr>
              <w:spacing w:after="20" w:before="20"/>
            </w:pPr>
            <w:r/>
            <w:r>
              <w:rPr>
                <w:b w:val="0"/>
                <w:i w:val="0"/>
                <w:sz w:val="17"/>
              </w:rPr>
              <w:t>-</w:t>
            </w:r>
          </w:p>
        </w:tc>
        <w:tc>
          <w:tcPr>
            <w:tcW w:type="dxa" w:w="3408"/>
          </w:tcPr>
          <w:p>
            <w:pPr>
              <w:spacing w:after="20" w:before="20"/>
            </w:pPr>
            <w:r/>
            <w:r>
              <w:rPr>
                <w:b w:val="0"/>
                <w:i w:val="0"/>
                <w:sz w:val="17"/>
              </w:rPr>
              <w:t>Joint holders, power of attorney, guardians and corporate signatories</w:t>
            </w:r>
          </w:p>
        </w:tc>
      </w:tr>
      <w:tr>
        <w:tc>
          <w:tcPr>
            <w:tcW w:type="dxa" w:w="3408"/>
          </w:tcPr>
          <w:p>
            <w:pPr>
              <w:spacing w:after="20" w:before="20"/>
            </w:pPr>
            <w:r/>
            <w:r>
              <w:rPr>
                <w:b w:val="0"/>
                <w:i w:val="0"/>
                <w:sz w:val="17"/>
              </w:rPr>
              <w:t>Email, WhatsApp, web chat</w:t>
            </w:r>
          </w:p>
        </w:tc>
        <w:tc>
          <w:tcPr>
            <w:tcW w:type="dxa" w:w="3408"/>
          </w:tcPr>
          <w:p>
            <w:pPr>
              <w:spacing w:after="20" w:before="20"/>
            </w:pPr>
            <w:r/>
            <w:r>
              <w:rPr>
                <w:b w:val="0"/>
                <w:i w:val="0"/>
                <w:sz w:val="17"/>
              </w:rPr>
              <w:t>Live on all three, unified into one pipeline</w:t>
            </w:r>
          </w:p>
        </w:tc>
        <w:tc>
          <w:tcPr>
            <w:tcW w:type="dxa" w:w="3408"/>
          </w:tcPr>
          <w:p>
            <w:pPr>
              <w:spacing w:after="20" w:before="20"/>
            </w:pPr>
            <w:r/>
            <w:r>
              <w:rPr>
                <w:b w:val="0"/>
                <w:i w:val="0"/>
                <w:sz w:val="17"/>
              </w:rPr>
              <w:t>Enterprise mail infrastructure, business-verified WhatsApp with approved templates, pre-login chat</w:t>
            </w:r>
          </w:p>
        </w:tc>
      </w:tr>
      <w:tr>
        <w:tc>
          <w:tcPr>
            <w:tcW w:type="dxa" w:w="3408"/>
          </w:tcPr>
          <w:p>
            <w:pPr>
              <w:spacing w:after="20" w:before="20"/>
            </w:pPr>
            <w:r/>
            <w:r>
              <w:rPr>
                <w:b w:val="0"/>
                <w:i w:val="0"/>
                <w:sz w:val="17"/>
              </w:rPr>
              <w:t>Voice</w:t>
            </w:r>
          </w:p>
        </w:tc>
        <w:tc>
          <w:tcPr>
            <w:tcW w:type="dxa" w:w="3408"/>
          </w:tcPr>
          <w:p>
            <w:pPr>
              <w:spacing w:after="20" w:before="20"/>
            </w:pPr>
            <w:r/>
            <w:r>
              <w:rPr>
                <w:b w:val="0"/>
                <w:i w:val="0"/>
                <w:sz w:val="17"/>
              </w:rPr>
              <w:t>-</w:t>
            </w:r>
          </w:p>
        </w:tc>
        <w:tc>
          <w:tcPr>
            <w:tcW w:type="dxa" w:w="3408"/>
          </w:tcPr>
          <w:p>
            <w:pPr>
              <w:spacing w:after="20" w:before="20"/>
            </w:pPr>
            <w:r/>
            <w:r>
              <w:rPr>
                <w:b w:val="0"/>
                <w:i w:val="0"/>
                <w:sz w:val="17"/>
              </w:rPr>
              <w:t>IVR and CTI integration, speech-to-text and text-to-speech, call recording with mandated retention</w:t>
            </w:r>
          </w:p>
        </w:tc>
      </w:tr>
      <w:tr>
        <w:tc>
          <w:tcPr>
            <w:tcW w:type="dxa" w:w="3408"/>
          </w:tcPr>
          <w:p>
            <w:pPr>
              <w:spacing w:after="20" w:before="20"/>
            </w:pPr>
            <w:r/>
            <w:r>
              <w:rPr>
                <w:b w:val="0"/>
                <w:i w:val="0"/>
                <w:sz w:val="17"/>
              </w:rPr>
              <w:t>Cross-channel continuity</w:t>
            </w:r>
          </w:p>
        </w:tc>
        <w:tc>
          <w:tcPr>
            <w:tcW w:type="dxa" w:w="3408"/>
          </w:tcPr>
          <w:p>
            <w:pPr>
              <w:spacing w:after="20" w:before="20"/>
            </w:pPr>
            <w:r/>
            <w:r>
              <w:rPr>
                <w:b w:val="0"/>
                <w:i w:val="0"/>
                <w:sz w:val="17"/>
              </w:rPr>
              <w:t>A case follows the customer between channels</w:t>
            </w:r>
          </w:p>
        </w:tc>
        <w:tc>
          <w:tcPr>
            <w:tcW w:type="dxa" w:w="3408"/>
          </w:tcPr>
          <w:p>
            <w:pPr>
              <w:spacing w:after="20" w:before="20"/>
            </w:pPr>
            <w:r/>
            <w:r>
              <w:rPr>
                <w:b w:val="0"/>
                <w:i w:val="0"/>
                <w:sz w:val="17"/>
              </w:rPr>
              <w:t>Extended to voice, so a call continues an existing chat or email thread</w:t>
            </w:r>
          </w:p>
        </w:tc>
      </w:tr>
    </w:tbl>
    <w:p>
      <w:pPr>
        <w:spacing w:after="60"/>
      </w:pPr>
    </w:p>
    <w:p>
      <w:pPr>
        <w:pStyle w:val="Heading3"/>
        <w:keepNext/>
      </w:pPr>
      <w:r/>
      <w:r>
        <w:rPr>
          <w:b/>
          <w:i w:val="0"/>
        </w:rPr>
        <w:t>3.2 Triage, answering and escalation</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Accelerator demonstrates</w:t>
            </w:r>
          </w:p>
        </w:tc>
        <w:tc>
          <w:tcPr>
            <w:tcW w:type="dxa" w:w="3408"/>
            <w:shd w:val="clear" w:color="auto" w:fill="DCE6F1"/>
          </w:tcPr>
          <w:p>
            <w:pPr>
              <w:spacing w:after="20" w:before="20"/>
            </w:pPr>
            <w:r/>
            <w:r>
              <w:rPr>
                <w:b/>
                <w:i w:val="0"/>
                <w:sz w:val="17"/>
              </w:rPr>
              <w:t>Production scope</w:t>
            </w:r>
          </w:p>
        </w:tc>
      </w:tr>
      <w:tr>
        <w:tc>
          <w:tcPr>
            <w:tcW w:type="dxa" w:w="3408"/>
          </w:tcPr>
          <w:p>
            <w:pPr>
              <w:spacing w:after="20" w:before="20"/>
            </w:pPr>
            <w:r/>
            <w:r>
              <w:rPr>
                <w:b w:val="0"/>
                <w:i w:val="0"/>
                <w:sz w:val="17"/>
              </w:rPr>
              <w:t>Triage</w:t>
            </w:r>
          </w:p>
        </w:tc>
        <w:tc>
          <w:tcPr>
            <w:tcW w:type="dxa" w:w="3408"/>
          </w:tcPr>
          <w:p>
            <w:pPr>
              <w:spacing w:after="20" w:before="20"/>
            </w:pPr>
            <w:r/>
            <w:r>
              <w:rPr>
                <w:b w:val="0"/>
                <w:i w:val="0"/>
                <w:sz w:val="17"/>
              </w:rPr>
              <w:t>Intent, urgency, sentiment, language, confidence and customer context on every message</w:t>
            </w:r>
          </w:p>
        </w:tc>
        <w:tc>
          <w:tcPr>
            <w:tcW w:type="dxa" w:w="3408"/>
          </w:tcPr>
          <w:p>
            <w:pPr>
              <w:spacing w:after="20" w:before="20"/>
            </w:pPr>
            <w:r/>
            <w:r>
              <w:rPr>
                <w:b w:val="0"/>
                <w:i w:val="0"/>
                <w:sz w:val="17"/>
              </w:rPr>
              <w:t>Taxonomy extended to the client's products and grievance categories; confidence calibrated against measured accuracy</w:t>
            </w:r>
          </w:p>
        </w:tc>
      </w:tr>
      <w:tr>
        <w:tc>
          <w:tcPr>
            <w:tcW w:type="dxa" w:w="3408"/>
          </w:tcPr>
          <w:p>
            <w:pPr>
              <w:spacing w:after="20" w:before="20"/>
            </w:pPr>
            <w:r/>
            <w:r>
              <w:rPr>
                <w:b w:val="0"/>
                <w:i w:val="0"/>
                <w:sz w:val="17"/>
              </w:rPr>
              <w:t>Routing dimensions</w:t>
            </w:r>
          </w:p>
        </w:tc>
        <w:tc>
          <w:tcPr>
            <w:tcW w:type="dxa" w:w="3408"/>
          </w:tcPr>
          <w:p>
            <w:pPr>
              <w:spacing w:after="20" w:before="20"/>
            </w:pPr>
            <w:r/>
            <w:r>
              <w:rPr>
                <w:b w:val="0"/>
                <w:i w:val="0"/>
                <w:sz w:val="17"/>
              </w:rPr>
              <w:t>Resolution level drives escalation</w:t>
            </w:r>
          </w:p>
        </w:tc>
        <w:tc>
          <w:tcPr>
            <w:tcW w:type="dxa" w:w="3408"/>
          </w:tcPr>
          <w:p>
            <w:pPr>
              <w:spacing w:after="20" w:before="20"/>
            </w:pPr>
            <w:r/>
            <w:r>
              <w:rPr>
                <w:b w:val="0"/>
                <w:i w:val="0"/>
                <w:sz w:val="17"/>
              </w:rPr>
              <w:t>Adds explicit complexity and safety-boundary judgement, persisted customer preference, and policy rules mandating human approval for defined request types</w:t>
            </w:r>
          </w:p>
        </w:tc>
      </w:tr>
      <w:tr>
        <w:tc>
          <w:tcPr>
            <w:tcW w:type="dxa" w:w="3408"/>
          </w:tcPr>
          <w:p>
            <w:pPr>
              <w:spacing w:after="20" w:before="20"/>
            </w:pPr>
            <w:r/>
            <w:r>
              <w:rPr>
                <w:b w:val="0"/>
                <w:i w:val="0"/>
                <w:sz w:val="17"/>
              </w:rPr>
              <w:t>Answering</w:t>
            </w:r>
          </w:p>
        </w:tc>
        <w:tc>
          <w:tcPr>
            <w:tcW w:type="dxa" w:w="3408"/>
          </w:tcPr>
          <w:p>
            <w:pPr>
              <w:spacing w:after="20" w:before="20"/>
            </w:pPr>
            <w:r/>
            <w:r>
              <w:rPr>
                <w:b w:val="0"/>
                <w:i w:val="0"/>
                <w:sz w:val="17"/>
              </w:rPr>
              <w:t>Grounded in approved knowledge and the customer's own records, across balances, cards, loans, policies, claims and transactions</w:t>
            </w:r>
          </w:p>
        </w:tc>
        <w:tc>
          <w:tcPr>
            <w:tcW w:type="dxa" w:w="3408"/>
          </w:tcPr>
          <w:p>
            <w:pPr>
              <w:spacing w:after="20" w:before="20"/>
            </w:pPr>
            <w:r/>
            <w:r>
              <w:rPr>
                <w:b w:val="0"/>
                <w:i w:val="0"/>
                <w:sz w:val="17"/>
              </w:rPr>
              <w:t>Knowledge scoped by entity, product and language; extended across the client's full product set</w:t>
            </w:r>
          </w:p>
        </w:tc>
      </w:tr>
      <w:tr>
        <w:tc>
          <w:tcPr>
            <w:tcW w:type="dxa" w:w="3408"/>
          </w:tcPr>
          <w:p>
            <w:pPr>
              <w:spacing w:after="20" w:before="20"/>
            </w:pPr>
            <w:r/>
            <w:r>
              <w:rPr>
                <w:b w:val="0"/>
                <w:i w:val="0"/>
                <w:sz w:val="17"/>
              </w:rPr>
              <w:t>Regulated advice</w:t>
            </w:r>
          </w:p>
        </w:tc>
        <w:tc>
          <w:tcPr>
            <w:tcW w:type="dxa" w:w="3408"/>
          </w:tcPr>
          <w:p>
            <w:pPr>
              <w:spacing w:after="20" w:before="20"/>
            </w:pPr>
            <w:r/>
            <w:r>
              <w:rPr>
                <w:b w:val="0"/>
                <w:i w:val="0"/>
                <w:sz w:val="17"/>
              </w:rPr>
              <w:t>Restricted by design</w:t>
            </w:r>
          </w:p>
        </w:tc>
        <w:tc>
          <w:tcPr>
            <w:tcW w:type="dxa" w:w="3408"/>
          </w:tcPr>
          <w:p>
            <w:pPr>
              <w:spacing w:after="20" w:before="20"/>
            </w:pPr>
            <w:r/>
            <w:r>
              <w:rPr>
                <w:b w:val="0"/>
                <w:i w:val="0"/>
                <w:sz w:val="17"/>
              </w:rPr>
              <w:t>Hard guardrail with abstention and routing to an authorised person</w:t>
            </w:r>
          </w:p>
        </w:tc>
      </w:tr>
      <w:tr>
        <w:tc>
          <w:tcPr>
            <w:tcW w:type="dxa" w:w="3408"/>
          </w:tcPr>
          <w:p>
            <w:pPr>
              <w:spacing w:after="20" w:before="20"/>
            </w:pPr>
            <w:r/>
            <w:r>
              <w:rPr>
                <w:b w:val="0"/>
                <w:i w:val="0"/>
                <w:sz w:val="17"/>
              </w:rPr>
              <w:t>Escalation decision</w:t>
            </w:r>
          </w:p>
        </w:tc>
        <w:tc>
          <w:tcPr>
            <w:tcW w:type="dxa" w:w="3408"/>
          </w:tcPr>
          <w:p>
            <w:pPr>
              <w:spacing w:after="20" w:before="20"/>
            </w:pPr>
            <w:r/>
            <w:r>
              <w:rPr>
                <w:b w:val="0"/>
                <w:i w:val="0"/>
                <w:sz w:val="17"/>
              </w:rPr>
              <w:t>Rule engine plus a check that reads the customer's own words, so a genuine complaint is held even when its category looks routine</w:t>
            </w:r>
          </w:p>
        </w:tc>
        <w:tc>
          <w:tcPr>
            <w:tcW w:type="dxa" w:w="3408"/>
          </w:tcPr>
          <w:p>
            <w:pPr>
              <w:spacing w:after="20" w:before="20"/>
            </w:pPr>
            <w:r/>
            <w:r>
              <w:rPr>
                <w:b w:val="0"/>
                <w:i w:val="0"/>
                <w:sz w:val="17"/>
              </w:rPr>
              <w:t>Retained as a core strength</w:t>
            </w:r>
          </w:p>
        </w:tc>
      </w:tr>
      <w:tr>
        <w:tc>
          <w:tcPr>
            <w:tcW w:type="dxa" w:w="3408"/>
          </w:tcPr>
          <w:p>
            <w:pPr>
              <w:spacing w:after="20" w:before="20"/>
            </w:pPr>
            <w:r/>
            <w:r>
              <w:rPr>
                <w:b w:val="0"/>
                <w:i w:val="0"/>
                <w:sz w:val="17"/>
              </w:rPr>
              <w:t>Escalation routing</w:t>
            </w:r>
          </w:p>
        </w:tc>
        <w:tc>
          <w:tcPr>
            <w:tcW w:type="dxa" w:w="3408"/>
          </w:tcPr>
          <w:p>
            <w:pPr>
              <w:spacing w:after="20" w:before="20"/>
            </w:pPr>
            <w:r/>
            <w:r>
              <w:rPr>
                <w:b w:val="0"/>
                <w:i w:val="0"/>
                <w:sz w:val="17"/>
              </w:rPr>
              <w:t>Three-level classification assigns a level</w:t>
            </w:r>
          </w:p>
        </w:tc>
        <w:tc>
          <w:tcPr>
            <w:tcW w:type="dxa" w:w="3408"/>
          </w:tcPr>
          <w:p>
            <w:pPr>
              <w:spacing w:after="20" w:before="20"/>
            </w:pPr>
            <w:r/>
            <w:r>
              <w:rPr>
                <w:b w:val="0"/>
                <w:i w:val="0"/>
                <w:sz w:val="17"/>
              </w:rPr>
              <w:t>Skills-based routing to named queues and individuals, with a named owner per escalation level</w:t>
            </w:r>
          </w:p>
        </w:tc>
      </w:tr>
      <w:tr>
        <w:tc>
          <w:tcPr>
            <w:tcW w:type="dxa" w:w="3408"/>
          </w:tcPr>
          <w:p>
            <w:pPr>
              <w:spacing w:after="20" w:before="20"/>
            </w:pPr>
            <w:r/>
            <w:r>
              <w:rPr>
                <w:b w:val="0"/>
                <w:i w:val="0"/>
                <w:sz w:val="17"/>
              </w:rPr>
              <w:t>Grievance framework</w:t>
            </w:r>
          </w:p>
        </w:tc>
        <w:tc>
          <w:tcPr>
            <w:tcW w:type="dxa" w:w="3408"/>
          </w:tcPr>
          <w:p>
            <w:pPr>
              <w:spacing w:after="20" w:before="20"/>
            </w:pPr>
            <w:r/>
            <w:r>
              <w:rPr>
                <w:b w:val="0"/>
                <w:i w:val="0"/>
                <w:sz w:val="17"/>
              </w:rPr>
              <w:t>-</w:t>
            </w:r>
          </w:p>
        </w:tc>
        <w:tc>
          <w:tcPr>
            <w:tcW w:type="dxa" w:w="3408"/>
          </w:tcPr>
          <w:p>
            <w:pPr>
              <w:spacing w:after="20" w:before="20"/>
            </w:pPr>
            <w:r/>
            <w:r>
              <w:rPr>
                <w:b w:val="0"/>
                <w:i w:val="0"/>
                <w:sz w:val="17"/>
              </w:rPr>
              <w:t>Regulator-aligned categories, redressal timelines, Nodal Officer routing and Ombudsman escalation</w:t>
            </w:r>
          </w:p>
        </w:tc>
      </w:tr>
    </w:tbl>
    <w:p>
      <w:pPr>
        <w:spacing w:after="60"/>
      </w:pPr>
    </w:p>
    <w:p>
      <w:pPr>
        <w:pStyle w:val="Heading3"/>
        <w:keepNext/>
      </w:pPr>
      <w:r/>
      <w:r>
        <w:rPr>
          <w:b/>
          <w:i w:val="0"/>
        </w:rPr>
        <w:t>3.3 Actions and case management</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Accelerator demonstrates</w:t>
            </w:r>
          </w:p>
        </w:tc>
        <w:tc>
          <w:tcPr>
            <w:tcW w:type="dxa" w:w="3408"/>
            <w:shd w:val="clear" w:color="auto" w:fill="DCE6F1"/>
          </w:tcPr>
          <w:p>
            <w:pPr>
              <w:spacing w:after="20" w:before="20"/>
            </w:pPr>
            <w:r/>
            <w:r>
              <w:rPr>
                <w:b/>
                <w:i w:val="0"/>
                <w:sz w:val="17"/>
              </w:rPr>
              <w:t>Production scope</w:t>
            </w:r>
          </w:p>
        </w:tc>
      </w:tr>
      <w:tr>
        <w:tc>
          <w:tcPr>
            <w:tcW w:type="dxa" w:w="3408"/>
          </w:tcPr>
          <w:p>
            <w:pPr>
              <w:spacing w:after="20" w:before="20"/>
            </w:pPr>
            <w:r/>
            <w:r>
              <w:rPr>
                <w:b w:val="0"/>
                <w:i w:val="0"/>
                <w:sz w:val="17"/>
              </w:rPr>
              <w:t>Service actions</w:t>
            </w:r>
          </w:p>
        </w:tc>
        <w:tc>
          <w:tcPr>
            <w:tcW w:type="dxa" w:w="3408"/>
          </w:tcPr>
          <w:p>
            <w:pPr>
              <w:spacing w:after="20" w:before="20"/>
            </w:pPr>
            <w:r/>
            <w:r>
              <w:rPr>
                <w:b w:val="0"/>
                <w:i w:val="0"/>
                <w:sz w:val="17"/>
              </w:rPr>
              <w:t>Case creation and routing</w:t>
            </w:r>
          </w:p>
        </w:tc>
        <w:tc>
          <w:tcPr>
            <w:tcW w:type="dxa" w:w="3408"/>
          </w:tcPr>
          <w:p>
            <w:pPr>
              <w:spacing w:after="20" w:before="20"/>
            </w:pPr>
            <w:r/>
            <w:r>
              <w:rPr>
                <w:b w:val="0"/>
                <w:i w:val="0"/>
                <w:sz w:val="17"/>
              </w:rPr>
              <w:t>Card block and replacement, dispute initiation, PIN reset, cheque stop, contact update, travel notice, statement request, callback booking</w:t>
            </w:r>
          </w:p>
        </w:tc>
      </w:tr>
      <w:tr>
        <w:tc>
          <w:tcPr>
            <w:tcW w:type="dxa" w:w="3408"/>
          </w:tcPr>
          <w:p>
            <w:pPr>
              <w:spacing w:after="20" w:before="20"/>
            </w:pPr>
            <w:r/>
            <w:r>
              <w:rPr>
                <w:b w:val="0"/>
                <w:i w:val="0"/>
                <w:sz w:val="17"/>
              </w:rPr>
              <w:t>Autonomy model</w:t>
            </w:r>
          </w:p>
        </w:tc>
        <w:tc>
          <w:tcPr>
            <w:tcW w:type="dxa" w:w="3408"/>
          </w:tcPr>
          <w:p>
            <w:pPr>
              <w:spacing w:after="20" w:before="20"/>
            </w:pPr>
            <w:r/>
            <w:r>
              <w:rPr>
                <w:b w:val="0"/>
                <w:i w:val="0"/>
                <w:sz w:val="17"/>
              </w:rPr>
              <w:t>Answers autonomously; holds for a human when the message warrants it</w:t>
            </w:r>
          </w:p>
        </w:tc>
        <w:tc>
          <w:tcPr>
            <w:tcW w:type="dxa" w:w="3408"/>
          </w:tcPr>
          <w:p>
            <w:pPr>
              <w:spacing w:after="20" w:before="20"/>
            </w:pPr>
            <w:r/>
            <w:r>
              <w:rPr>
                <w:b w:val="0"/>
                <w:i w:val="0"/>
                <w:sz w:val="17"/>
              </w:rPr>
              <w:t>Extended to actions: execute when low-risk, clarify when ambiguous, defer when the backing system is unavailable</w:t>
            </w:r>
          </w:p>
        </w:tc>
      </w:tr>
      <w:tr>
        <w:tc>
          <w:tcPr>
            <w:tcW w:type="dxa" w:w="3408"/>
          </w:tcPr>
          <w:p>
            <w:pPr>
              <w:spacing w:after="20" w:before="20"/>
            </w:pPr>
            <w:r/>
            <w:r>
              <w:rPr>
                <w:b w:val="0"/>
                <w:i w:val="0"/>
                <w:sz w:val="17"/>
              </w:rPr>
              <w:t>Maker-checker</w:t>
            </w:r>
          </w:p>
        </w:tc>
        <w:tc>
          <w:tcPr>
            <w:tcW w:type="dxa" w:w="3408"/>
          </w:tcPr>
          <w:p>
            <w:pPr>
              <w:spacing w:after="20" w:before="20"/>
            </w:pPr>
            <w:r/>
            <w:r>
              <w:rPr>
                <w:b w:val="0"/>
                <w:i w:val="0"/>
                <w:sz w:val="17"/>
              </w:rPr>
              <w:t>Reply drafts held for human approval</w:t>
            </w:r>
          </w:p>
        </w:tc>
        <w:tc>
          <w:tcPr>
            <w:tcW w:type="dxa" w:w="3408"/>
          </w:tcPr>
          <w:p>
            <w:pPr>
              <w:spacing w:after="20" w:before="20"/>
            </w:pPr>
            <w:r/>
            <w:r>
              <w:rPr>
                <w:b w:val="0"/>
                <w:i w:val="0"/>
                <w:sz w:val="17"/>
              </w:rPr>
              <w:t>Extended to transactions: value-bearing actions require human authorisation regardless of AI confidence</w:t>
            </w:r>
          </w:p>
        </w:tc>
      </w:tr>
      <w:tr>
        <w:tc>
          <w:tcPr>
            <w:tcW w:type="dxa" w:w="3408"/>
          </w:tcPr>
          <w:p>
            <w:pPr>
              <w:spacing w:after="20" w:before="20"/>
            </w:pPr>
            <w:r/>
            <w:r>
              <w:rPr>
                <w:b w:val="0"/>
                <w:i w:val="0"/>
                <w:sz w:val="17"/>
              </w:rPr>
              <w:t>Case lifecycle</w:t>
            </w:r>
          </w:p>
        </w:tc>
        <w:tc>
          <w:tcPr>
            <w:tcW w:type="dxa" w:w="3408"/>
          </w:tcPr>
          <w:p>
            <w:pPr>
              <w:spacing w:after="20" w:before="20"/>
            </w:pPr>
            <w:r/>
            <w:r>
              <w:rPr>
                <w:b w:val="0"/>
                <w:i w:val="0"/>
                <w:sz w:val="17"/>
              </w:rPr>
              <w:t>Automatic case creation with AI-refereed grouping; open, logged and closed states</w:t>
            </w:r>
          </w:p>
        </w:tc>
        <w:tc>
          <w:tcPr>
            <w:tcW w:type="dxa" w:w="3408"/>
          </w:tcPr>
          <w:p>
            <w:pPr>
              <w:spacing w:after="20" w:before="20"/>
            </w:pPr>
            <w:r/>
            <w:r>
              <w:rPr>
                <w:b w:val="0"/>
                <w:i w:val="0"/>
                <w:sz w:val="17"/>
              </w:rPr>
              <w:t>Full lifecycle with defined transitions, ownership and reopen handling</w:t>
            </w:r>
          </w:p>
        </w:tc>
      </w:tr>
      <w:tr>
        <w:tc>
          <w:tcPr>
            <w:tcW w:type="dxa" w:w="3408"/>
          </w:tcPr>
          <w:p>
            <w:pPr>
              <w:spacing w:after="20" w:before="20"/>
            </w:pPr>
            <w:r/>
            <w:r>
              <w:rPr>
                <w:b w:val="0"/>
                <w:i w:val="0"/>
                <w:sz w:val="17"/>
              </w:rPr>
              <w:t>Disposition</w:t>
            </w:r>
          </w:p>
        </w:tc>
        <w:tc>
          <w:tcPr>
            <w:tcW w:type="dxa" w:w="3408"/>
          </w:tcPr>
          <w:p>
            <w:pPr>
              <w:spacing w:after="20" w:before="20"/>
            </w:pPr>
            <w:r/>
            <w:r>
              <w:rPr>
                <w:b w:val="0"/>
                <w:i w:val="0"/>
                <w:sz w:val="17"/>
              </w:rPr>
              <w:t>Case status and escalation reason recorded</w:t>
            </w:r>
          </w:p>
        </w:tc>
        <w:tc>
          <w:tcPr>
            <w:tcW w:type="dxa" w:w="3408"/>
          </w:tcPr>
          <w:p>
            <w:pPr>
              <w:spacing w:after="20" w:before="20"/>
            </w:pPr>
            <w:r/>
            <w:r>
              <w:rPr>
                <w:b w:val="0"/>
                <w:i w:val="0"/>
                <w:sz w:val="17"/>
              </w:rPr>
              <w:t>Controlled disposition taxonomy driving first-contact resolution, containment and regulatory reporting</w:t>
            </w:r>
          </w:p>
        </w:tc>
      </w:tr>
      <w:tr>
        <w:tc>
          <w:tcPr>
            <w:tcW w:type="dxa" w:w="3408"/>
          </w:tcPr>
          <w:p>
            <w:pPr>
              <w:spacing w:after="20" w:before="20"/>
            </w:pPr>
            <w:r/>
            <w:r>
              <w:rPr>
                <w:b w:val="0"/>
                <w:i w:val="0"/>
                <w:sz w:val="17"/>
              </w:rPr>
              <w:t>SLA and TAT</w:t>
            </w:r>
          </w:p>
        </w:tc>
        <w:tc>
          <w:tcPr>
            <w:tcW w:type="dxa" w:w="3408"/>
          </w:tcPr>
          <w:p>
            <w:pPr>
              <w:spacing w:after="20" w:before="20"/>
            </w:pPr>
            <w:r/>
            <w:r>
              <w:rPr>
                <w:b w:val="0"/>
                <w:i w:val="0"/>
                <w:sz w:val="17"/>
              </w:rPr>
              <w:t>-</w:t>
            </w:r>
          </w:p>
        </w:tc>
        <w:tc>
          <w:tcPr>
            <w:tcW w:type="dxa" w:w="3408"/>
          </w:tcPr>
          <w:p>
            <w:pPr>
              <w:spacing w:after="20" w:before="20"/>
            </w:pPr>
            <w:r/>
            <w:r>
              <w:rPr>
                <w:b w:val="0"/>
                <w:i w:val="0"/>
                <w:sz w:val="17"/>
              </w:rPr>
              <w:t>Per-category clocks with breach alerting</w:t>
            </w:r>
          </w:p>
        </w:tc>
      </w:tr>
    </w:tbl>
    <w:p>
      <w:pPr>
        <w:spacing w:after="60"/>
      </w:pPr>
    </w:p>
    <w:p>
      <w:pPr>
        <w:pStyle w:val="Heading3"/>
        <w:keepNext/>
      </w:pPr>
      <w:r/>
      <w:r>
        <w:rPr>
          <w:b/>
          <w:i w:val="0"/>
        </w:rPr>
        <w:t>3.4 Agent assist and proactive engagement</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Accelerator demonstrates</w:t>
            </w:r>
          </w:p>
        </w:tc>
        <w:tc>
          <w:tcPr>
            <w:tcW w:type="dxa" w:w="3408"/>
            <w:shd w:val="clear" w:color="auto" w:fill="DCE6F1"/>
          </w:tcPr>
          <w:p>
            <w:pPr>
              <w:spacing w:after="20" w:before="20"/>
            </w:pPr>
            <w:r/>
            <w:r>
              <w:rPr>
                <w:b/>
                <w:i w:val="0"/>
                <w:sz w:val="17"/>
              </w:rPr>
              <w:t>Production scope</w:t>
            </w:r>
          </w:p>
        </w:tc>
      </w:tr>
      <w:tr>
        <w:tc>
          <w:tcPr>
            <w:tcW w:type="dxa" w:w="3408"/>
          </w:tcPr>
          <w:p>
            <w:pPr>
              <w:spacing w:after="20" w:before="20"/>
            </w:pPr>
            <w:r/>
            <w:r>
              <w:rPr>
                <w:b w:val="0"/>
                <w:i w:val="0"/>
                <w:sz w:val="17"/>
              </w:rPr>
              <w:t>Live assist</w:t>
            </w:r>
          </w:p>
        </w:tc>
        <w:tc>
          <w:tcPr>
            <w:tcW w:type="dxa" w:w="3408"/>
          </w:tcPr>
          <w:p>
            <w:pPr>
              <w:spacing w:after="20" w:before="20"/>
            </w:pPr>
            <w:r/>
            <w:r>
              <w:rPr>
                <w:b w:val="0"/>
                <w:i w:val="0"/>
                <w:sz w:val="17"/>
              </w:rPr>
              <w:t>Case summary, next-best-action and retrieved evidence surfaced to the agent</w:t>
            </w:r>
          </w:p>
        </w:tc>
        <w:tc>
          <w:tcPr>
            <w:tcW w:type="dxa" w:w="3408"/>
          </w:tcPr>
          <w:p>
            <w:pPr>
              <w:spacing w:after="20" w:before="20"/>
            </w:pPr>
            <w:r/>
            <w:r>
              <w:rPr>
                <w:b w:val="0"/>
                <w:i w:val="0"/>
                <w:sz w:val="17"/>
              </w:rPr>
              <w:t>Extended to live voice conversations</w:t>
            </w:r>
          </w:p>
        </w:tc>
      </w:tr>
      <w:tr>
        <w:tc>
          <w:tcPr>
            <w:tcW w:type="dxa" w:w="3408"/>
          </w:tcPr>
          <w:p>
            <w:pPr>
              <w:spacing w:after="20" w:before="20"/>
            </w:pPr>
            <w:r/>
            <w:r>
              <w:rPr>
                <w:b w:val="0"/>
                <w:i w:val="0"/>
                <w:sz w:val="17"/>
              </w:rPr>
              <w:t>Handover context</w:t>
            </w:r>
          </w:p>
        </w:tc>
        <w:tc>
          <w:tcPr>
            <w:tcW w:type="dxa" w:w="3408"/>
          </w:tcPr>
          <w:p>
            <w:pPr>
              <w:spacing w:after="20" w:before="20"/>
            </w:pPr>
            <w:r/>
            <w:r>
              <w:rPr>
                <w:b w:val="0"/>
                <w:i w:val="0"/>
                <w:sz w:val="17"/>
              </w:rPr>
              <w:t>Identity, channel, language, intent, summary, confidence, evidence and escalation reason travel with the case</w:t>
            </w:r>
          </w:p>
        </w:tc>
        <w:tc>
          <w:tcPr>
            <w:tcW w:type="dxa" w:w="3408"/>
          </w:tcPr>
          <w:p>
            <w:pPr>
              <w:spacing w:after="20" w:before="20"/>
            </w:pPr>
            <w:r/>
            <w:r>
              <w:rPr>
                <w:b w:val="0"/>
                <w:i w:val="0"/>
                <w:sz w:val="17"/>
              </w:rPr>
              <w:t>Adds actions already completed, outstanding questions and recommended next action</w:t>
            </w:r>
          </w:p>
        </w:tc>
      </w:tr>
      <w:tr>
        <w:tc>
          <w:tcPr>
            <w:tcW w:type="dxa" w:w="3408"/>
          </w:tcPr>
          <w:p>
            <w:pPr>
              <w:spacing w:after="20" w:before="20"/>
            </w:pPr>
            <w:r/>
            <w:r>
              <w:rPr>
                <w:b w:val="0"/>
                <w:i w:val="0"/>
                <w:sz w:val="17"/>
              </w:rPr>
              <w:t>Post-handover monitoring</w:t>
            </w:r>
          </w:p>
        </w:tc>
        <w:tc>
          <w:tcPr>
            <w:tcW w:type="dxa" w:w="3408"/>
          </w:tcPr>
          <w:p>
            <w:pPr>
              <w:spacing w:after="20" w:before="20"/>
            </w:pPr>
            <w:r/>
            <w:r>
              <w:rPr>
                <w:b w:val="0"/>
                <w:i w:val="0"/>
                <w:sz w:val="17"/>
              </w:rPr>
              <w:t>Assist continues after handover</w:t>
            </w:r>
          </w:p>
        </w:tc>
        <w:tc>
          <w:tcPr>
            <w:tcW w:type="dxa" w:w="3408"/>
          </w:tcPr>
          <w:p>
            <w:pPr>
              <w:spacing w:after="20" w:before="20"/>
            </w:pPr>
            <w:r/>
            <w:r>
              <w:rPr>
                <w:b w:val="0"/>
                <w:i w:val="0"/>
                <w:sz w:val="17"/>
              </w:rPr>
              <w:t>Intent-change and sentiment-deterioration detection, recommended disposition</w:t>
            </w:r>
          </w:p>
        </w:tc>
      </w:tr>
      <w:tr>
        <w:tc>
          <w:tcPr>
            <w:tcW w:type="dxa" w:w="3408"/>
          </w:tcPr>
          <w:p>
            <w:pPr>
              <w:spacing w:after="20" w:before="20"/>
            </w:pPr>
            <w:r/>
            <w:r>
              <w:rPr>
                <w:b w:val="0"/>
                <w:i w:val="0"/>
                <w:sz w:val="17"/>
              </w:rPr>
              <w:t>Accountability</w:t>
            </w:r>
          </w:p>
        </w:tc>
        <w:tc>
          <w:tcPr>
            <w:tcW w:type="dxa" w:w="3408"/>
          </w:tcPr>
          <w:p>
            <w:pPr>
              <w:spacing w:after="20" w:before="20"/>
            </w:pPr>
            <w:r/>
            <w:r>
              <w:rPr>
                <w:b w:val="0"/>
                <w:i w:val="0"/>
                <w:sz w:val="17"/>
              </w:rPr>
              <w:t>The human sends the reply on held drafts</w:t>
            </w:r>
          </w:p>
        </w:tc>
        <w:tc>
          <w:tcPr>
            <w:tcW w:type="dxa" w:w="3408"/>
          </w:tcPr>
          <w:p>
            <w:pPr>
              <w:spacing w:after="20" w:before="20"/>
            </w:pPr>
            <w:r/>
            <w:r>
              <w:rPr>
                <w:b w:val="0"/>
                <w:i w:val="0"/>
                <w:sz w:val="17"/>
              </w:rPr>
              <w:t>Retained - the human remains accountable for the customer-facing action</w:t>
            </w:r>
          </w:p>
        </w:tc>
      </w:tr>
      <w:tr>
        <w:tc>
          <w:tcPr>
            <w:tcW w:type="dxa" w:w="3408"/>
          </w:tcPr>
          <w:p>
            <w:pPr>
              <w:spacing w:after="20" w:before="20"/>
            </w:pPr>
            <w:r/>
            <w:r>
              <w:rPr>
                <w:b w:val="0"/>
                <w:i w:val="0"/>
                <w:sz w:val="17"/>
              </w:rPr>
              <w:t>Outbound campaigns</w:t>
            </w:r>
          </w:p>
        </w:tc>
        <w:tc>
          <w:tcPr>
            <w:tcW w:type="dxa" w:w="3408"/>
          </w:tcPr>
          <w:p>
            <w:pPr>
              <w:spacing w:after="20" w:before="20"/>
            </w:pPr>
            <w:r/>
            <w:r>
              <w:rPr>
                <w:b w:val="0"/>
                <w:i w:val="0"/>
                <w:sz w:val="17"/>
              </w:rPr>
              <w:t>-</w:t>
            </w:r>
          </w:p>
        </w:tc>
        <w:tc>
          <w:tcPr>
            <w:tcW w:type="dxa" w:w="3408"/>
          </w:tcPr>
          <w:p>
            <w:pPr>
              <w:spacing w:after="20" w:before="20"/>
            </w:pPr>
            <w:r/>
            <w:r>
              <w:rPr>
                <w:b w:val="0"/>
                <w:i w:val="0"/>
                <w:sz w:val="17"/>
              </w:rPr>
              <w:t>Payment and EMI reminders, mandate bounce alerts, KYC expiry, card renewal, deposit maturity, dormant reactivation, escalating from message to call</w:t>
            </w:r>
          </w:p>
        </w:tc>
      </w:tr>
      <w:tr>
        <w:tc>
          <w:tcPr>
            <w:tcW w:type="dxa" w:w="3408"/>
          </w:tcPr>
          <w:p>
            <w:pPr>
              <w:spacing w:after="20" w:before="20"/>
            </w:pPr>
            <w:r/>
            <w:r>
              <w:rPr>
                <w:b w:val="0"/>
                <w:i w:val="0"/>
                <w:sz w:val="17"/>
              </w:rPr>
              <w:t>Consent and contact governance</w:t>
            </w:r>
          </w:p>
        </w:tc>
        <w:tc>
          <w:tcPr>
            <w:tcW w:type="dxa" w:w="3408"/>
          </w:tcPr>
          <w:p>
            <w:pPr>
              <w:spacing w:after="20" w:before="20"/>
            </w:pPr>
            <w:r/>
            <w:r>
              <w:rPr>
                <w:b w:val="0"/>
                <w:i w:val="0"/>
                <w:sz w:val="17"/>
              </w:rPr>
              <w:t>-</w:t>
            </w:r>
          </w:p>
        </w:tc>
        <w:tc>
          <w:tcPr>
            <w:tcW w:type="dxa" w:w="3408"/>
          </w:tcPr>
          <w:p>
            <w:pPr>
              <w:spacing w:after="20" w:before="20"/>
            </w:pPr>
            <w:r/>
            <w:r>
              <w:rPr>
                <w:b w:val="0"/>
                <w:i w:val="0"/>
                <w:sz w:val="17"/>
              </w:rPr>
              <w:t>Purpose-bound consent, do-not-contact enforcement, permitted hours, frequency caps and full campaign audit</w:t>
            </w:r>
          </w:p>
        </w:tc>
      </w:tr>
    </w:tbl>
    <w:p>
      <w:pPr>
        <w:spacing w:after="60"/>
      </w:pPr>
    </w:p>
    <w:p>
      <w:pPr>
        <w:pStyle w:val="Heading2"/>
        <w:keepNext/>
      </w:pPr>
      <w:r/>
      <w:r>
        <w:rPr>
          <w:b/>
          <w:i w:val="0"/>
        </w:rPr>
        <w:t>4. Data platform</w:t>
      </w:r>
    </w:p>
    <w:p>
      <w:r>
        <w:rPr>
          <w:b w:val="0"/>
          <w:i w:val="0"/>
        </w:rPr>
        <w:t>Production deployment integrates with the client's existing systems rather than replacing them.</w:t>
      </w:r>
    </w:p>
    <w:p>
      <w:pPr>
        <w:pStyle w:val="Heading3"/>
        <w:keepNext/>
      </w:pPr>
      <w:r/>
      <w:r>
        <w:rPr>
          <w:b/>
          <w:i w:val="0"/>
        </w:rPr>
        <w:t>4.1 Source systems</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Source</w:t>
            </w:r>
          </w:p>
        </w:tc>
        <w:tc>
          <w:tcPr>
            <w:tcW w:type="dxa" w:w="5112"/>
            <w:shd w:val="clear" w:color="auto" w:fill="DCE6F1"/>
          </w:tcPr>
          <w:p>
            <w:pPr>
              <w:spacing w:after="20" w:before="20"/>
            </w:pPr>
            <w:r/>
            <w:r>
              <w:rPr>
                <w:b/>
                <w:i w:val="0"/>
                <w:sz w:val="17"/>
              </w:rPr>
              <w:t>Data</w:t>
            </w:r>
          </w:p>
        </w:tc>
      </w:tr>
      <w:tr>
        <w:tc>
          <w:tcPr>
            <w:tcW w:type="dxa" w:w="5112"/>
          </w:tcPr>
          <w:p>
            <w:pPr>
              <w:spacing w:after="20" w:before="20"/>
            </w:pPr>
            <w:r/>
            <w:r>
              <w:rPr>
                <w:b w:val="0"/>
                <w:i w:val="0"/>
                <w:sz w:val="17"/>
              </w:rPr>
              <w:t>Core banking</w:t>
            </w:r>
          </w:p>
        </w:tc>
        <w:tc>
          <w:tcPr>
            <w:tcW w:type="dxa" w:w="5112"/>
          </w:tcPr>
          <w:p>
            <w:pPr>
              <w:spacing w:after="20" w:before="20"/>
            </w:pPr>
            <w:r/>
            <w:r>
              <w:rPr>
                <w:b w:val="0"/>
                <w:i w:val="0"/>
                <w:sz w:val="17"/>
              </w:rPr>
              <w:t>Customers, accounts, balances, transactions</w:t>
            </w:r>
          </w:p>
        </w:tc>
      </w:tr>
      <w:tr>
        <w:tc>
          <w:tcPr>
            <w:tcW w:type="dxa" w:w="5112"/>
          </w:tcPr>
          <w:p>
            <w:pPr>
              <w:spacing w:after="20" w:before="20"/>
            </w:pPr>
            <w:r/>
            <w:r>
              <w:rPr>
                <w:b w:val="0"/>
                <w:i w:val="0"/>
                <w:sz w:val="17"/>
              </w:rPr>
              <w:t>Cards</w:t>
            </w:r>
          </w:p>
        </w:tc>
        <w:tc>
          <w:tcPr>
            <w:tcW w:type="dxa" w:w="5112"/>
          </w:tcPr>
          <w:p>
            <w:pPr>
              <w:spacing w:after="20" w:before="20"/>
            </w:pPr>
            <w:r/>
            <w:r>
              <w:rPr>
                <w:b w:val="0"/>
                <w:i w:val="0"/>
                <w:sz w:val="17"/>
              </w:rPr>
              <w:t>Limits, dues, statements</w:t>
            </w:r>
          </w:p>
        </w:tc>
      </w:tr>
      <w:tr>
        <w:tc>
          <w:tcPr>
            <w:tcW w:type="dxa" w:w="5112"/>
          </w:tcPr>
          <w:p>
            <w:pPr>
              <w:spacing w:after="20" w:before="20"/>
            </w:pPr>
            <w:r/>
            <w:r>
              <w:rPr>
                <w:b w:val="0"/>
                <w:i w:val="0"/>
                <w:sz w:val="17"/>
              </w:rPr>
              <w:t>Loans</w:t>
            </w:r>
          </w:p>
        </w:tc>
        <w:tc>
          <w:tcPr>
            <w:tcW w:type="dxa" w:w="5112"/>
          </w:tcPr>
          <w:p>
            <w:pPr>
              <w:spacing w:after="20" w:before="20"/>
            </w:pPr>
            <w:r/>
            <w:r>
              <w:rPr>
                <w:b w:val="0"/>
                <w:i w:val="0"/>
                <w:sz w:val="17"/>
              </w:rPr>
              <w:t>Applications, schedules, delinquency</w:t>
            </w:r>
          </w:p>
        </w:tc>
      </w:tr>
      <w:tr>
        <w:tc>
          <w:tcPr>
            <w:tcW w:type="dxa" w:w="5112"/>
          </w:tcPr>
          <w:p>
            <w:pPr>
              <w:spacing w:after="20" w:before="20"/>
            </w:pPr>
            <w:r/>
            <w:r>
              <w:rPr>
                <w:b w:val="0"/>
                <w:i w:val="0"/>
                <w:sz w:val="17"/>
              </w:rPr>
              <w:t>Policy administration and claims</w:t>
            </w:r>
          </w:p>
        </w:tc>
        <w:tc>
          <w:tcPr>
            <w:tcW w:type="dxa" w:w="5112"/>
          </w:tcPr>
          <w:p>
            <w:pPr>
              <w:spacing w:after="20" w:before="20"/>
            </w:pPr>
            <w:r/>
            <w:r>
              <w:rPr>
                <w:b w:val="0"/>
                <w:i w:val="0"/>
                <w:sz w:val="17"/>
              </w:rPr>
              <w:t>Policies, claims, servicing events</w:t>
            </w:r>
          </w:p>
        </w:tc>
      </w:tr>
      <w:tr>
        <w:tc>
          <w:tcPr>
            <w:tcW w:type="dxa" w:w="5112"/>
          </w:tcPr>
          <w:p>
            <w:pPr>
              <w:spacing w:after="20" w:before="20"/>
            </w:pPr>
            <w:r/>
            <w:r>
              <w:rPr>
                <w:b w:val="0"/>
                <w:i w:val="0"/>
                <w:sz w:val="17"/>
              </w:rPr>
              <w:t>CRM</w:t>
            </w:r>
          </w:p>
        </w:tc>
        <w:tc>
          <w:tcPr>
            <w:tcW w:type="dxa" w:w="5112"/>
          </w:tcPr>
          <w:p>
            <w:pPr>
              <w:spacing w:after="20" w:before="20"/>
            </w:pPr>
            <w:r/>
            <w:r>
              <w:rPr>
                <w:b w:val="0"/>
                <w:i w:val="0"/>
                <w:sz w:val="17"/>
              </w:rPr>
              <w:t>Cases, interactions, dispositions</w:t>
            </w:r>
          </w:p>
        </w:tc>
      </w:tr>
      <w:tr>
        <w:tc>
          <w:tcPr>
            <w:tcW w:type="dxa" w:w="5112"/>
          </w:tcPr>
          <w:p>
            <w:pPr>
              <w:spacing w:after="20" w:before="20"/>
            </w:pPr>
            <w:r/>
            <w:r>
              <w:rPr>
                <w:b w:val="0"/>
                <w:i w:val="0"/>
                <w:sz w:val="17"/>
              </w:rPr>
              <w:t>Telephony / CTI</w:t>
            </w:r>
          </w:p>
        </w:tc>
        <w:tc>
          <w:tcPr>
            <w:tcW w:type="dxa" w:w="5112"/>
          </w:tcPr>
          <w:p>
            <w:pPr>
              <w:spacing w:after="20" w:before="20"/>
            </w:pPr>
            <w:r/>
            <w:r>
              <w:rPr>
                <w:b w:val="0"/>
                <w:i w:val="0"/>
                <w:sz w:val="17"/>
              </w:rPr>
              <w:t>Call events, recordings, metadata</w:t>
            </w:r>
          </w:p>
        </w:tc>
      </w:tr>
      <w:tr>
        <w:tc>
          <w:tcPr>
            <w:tcW w:type="dxa" w:w="5112"/>
          </w:tcPr>
          <w:p>
            <w:pPr>
              <w:spacing w:after="20" w:before="20"/>
            </w:pPr>
            <w:r/>
            <w:r>
              <w:rPr>
                <w:b w:val="0"/>
                <w:i w:val="0"/>
                <w:sz w:val="17"/>
              </w:rPr>
              <w:t>Payments and disputes</w:t>
            </w:r>
          </w:p>
        </w:tc>
        <w:tc>
          <w:tcPr>
            <w:tcW w:type="dxa" w:w="5112"/>
          </w:tcPr>
          <w:p>
            <w:pPr>
              <w:spacing w:after="20" w:before="20"/>
            </w:pPr>
            <w:r/>
            <w:r>
              <w:rPr>
                <w:b w:val="0"/>
                <w:i w:val="0"/>
                <w:sz w:val="17"/>
              </w:rPr>
              <w:t>Chargebacks, settlement status</w:t>
            </w:r>
          </w:p>
        </w:tc>
      </w:tr>
    </w:tbl>
    <w:p>
      <w:pPr>
        <w:spacing w:after="60"/>
      </w:pPr>
    </w:p>
    <w:p>
      <w:r>
        <w:rPr>
          <w:b w:val="0"/>
          <w:i w:val="0"/>
        </w:rPr>
        <w:t>Ingestion is selected per source: change data capture for transactional systems requiring near-real-time currency, batch for reference and reconciliation data, and event streaming for interaction telemetry.</w:t>
      </w:r>
    </w:p>
    <w:p>
      <w:pPr>
        <w:pStyle w:val="Heading3"/>
        <w:keepNext/>
      </w:pPr>
      <w:r/>
      <w:r>
        <w:rPr>
          <w:b/>
          <w:i w:val="0"/>
        </w:rPr>
        <w:t>4.2 Architecture on AWS</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Layer</w:t>
            </w:r>
          </w:p>
        </w:tc>
        <w:tc>
          <w:tcPr>
            <w:tcW w:type="dxa" w:w="3408"/>
            <w:shd w:val="clear" w:color="auto" w:fill="DCE6F1"/>
          </w:tcPr>
          <w:p>
            <w:pPr>
              <w:spacing w:after="20" w:before="20"/>
            </w:pPr>
            <w:r/>
            <w:r>
              <w:rPr>
                <w:b/>
                <w:i w:val="0"/>
                <w:sz w:val="17"/>
              </w:rPr>
              <w:t>Service</w:t>
            </w:r>
          </w:p>
        </w:tc>
        <w:tc>
          <w:tcPr>
            <w:tcW w:type="dxa" w:w="3408"/>
            <w:shd w:val="clear" w:color="auto" w:fill="DCE6F1"/>
          </w:tcPr>
          <w:p>
            <w:pPr>
              <w:spacing w:after="20" w:before="20"/>
            </w:pPr>
            <w:r/>
            <w:r>
              <w:rPr>
                <w:b/>
                <w:i w:val="0"/>
                <w:sz w:val="17"/>
              </w:rPr>
              <w:t>Purpose</w:t>
            </w:r>
          </w:p>
        </w:tc>
      </w:tr>
      <w:tr>
        <w:tc>
          <w:tcPr>
            <w:tcW w:type="dxa" w:w="3408"/>
          </w:tcPr>
          <w:p>
            <w:pPr>
              <w:spacing w:after="20" w:before="20"/>
            </w:pPr>
            <w:r/>
            <w:r>
              <w:rPr>
                <w:b w:val="0"/>
                <w:i w:val="0"/>
                <w:sz w:val="17"/>
              </w:rPr>
              <w:t>Landing</w:t>
            </w:r>
          </w:p>
        </w:tc>
        <w:tc>
          <w:tcPr>
            <w:tcW w:type="dxa" w:w="3408"/>
          </w:tcPr>
          <w:p>
            <w:pPr>
              <w:spacing w:after="20" w:before="20"/>
            </w:pPr>
            <w:r/>
            <w:r>
              <w:rPr>
                <w:b w:val="0"/>
                <w:i w:val="0"/>
                <w:sz w:val="17"/>
              </w:rPr>
              <w:t>S3</w:t>
            </w:r>
          </w:p>
        </w:tc>
        <w:tc>
          <w:tcPr>
            <w:tcW w:type="dxa" w:w="3408"/>
          </w:tcPr>
          <w:p>
            <w:pPr>
              <w:spacing w:after="20" w:before="20"/>
            </w:pPr>
            <w:r/>
            <w:r>
              <w:rPr>
                <w:b w:val="0"/>
                <w:i w:val="0"/>
                <w:sz w:val="17"/>
              </w:rPr>
              <w:t>Immutable arrival of source extracts and events</w:t>
            </w:r>
          </w:p>
        </w:tc>
      </w:tr>
      <w:tr>
        <w:tc>
          <w:tcPr>
            <w:tcW w:type="dxa" w:w="3408"/>
          </w:tcPr>
          <w:p>
            <w:pPr>
              <w:spacing w:after="20" w:before="20"/>
            </w:pPr>
            <w:r/>
            <w:r>
              <w:rPr>
                <w:b w:val="0"/>
                <w:i w:val="0"/>
                <w:sz w:val="17"/>
              </w:rPr>
              <w:t>Streaming ingest</w:t>
            </w:r>
          </w:p>
        </w:tc>
        <w:tc>
          <w:tcPr>
            <w:tcW w:type="dxa" w:w="3408"/>
          </w:tcPr>
          <w:p>
            <w:pPr>
              <w:spacing w:after="20" w:before="20"/>
            </w:pPr>
            <w:r/>
            <w:r>
              <w:rPr>
                <w:b w:val="0"/>
                <w:i w:val="0"/>
                <w:sz w:val="17"/>
              </w:rPr>
              <w:t>MSK or Kinesis</w:t>
            </w:r>
          </w:p>
        </w:tc>
        <w:tc>
          <w:tcPr>
            <w:tcW w:type="dxa" w:w="3408"/>
          </w:tcPr>
          <w:p>
            <w:pPr>
              <w:spacing w:after="20" w:before="20"/>
            </w:pPr>
            <w:r/>
            <w:r>
              <w:rPr>
                <w:b w:val="0"/>
                <w:i w:val="0"/>
                <w:sz w:val="17"/>
              </w:rPr>
              <w:t>Interaction events and CDC streams</w:t>
            </w:r>
          </w:p>
        </w:tc>
      </w:tr>
      <w:tr>
        <w:tc>
          <w:tcPr>
            <w:tcW w:type="dxa" w:w="3408"/>
          </w:tcPr>
          <w:p>
            <w:pPr>
              <w:spacing w:after="20" w:before="20"/>
            </w:pPr>
            <w:r/>
            <w:r>
              <w:rPr>
                <w:b w:val="0"/>
                <w:i w:val="0"/>
                <w:sz w:val="17"/>
              </w:rPr>
              <w:t>Transformation</w:t>
            </w:r>
          </w:p>
        </w:tc>
        <w:tc>
          <w:tcPr>
            <w:tcW w:type="dxa" w:w="3408"/>
          </w:tcPr>
          <w:p>
            <w:pPr>
              <w:spacing w:after="20" w:before="20"/>
            </w:pPr>
            <w:r/>
            <w:r>
              <w:rPr>
                <w:b w:val="0"/>
                <w:i w:val="0"/>
                <w:sz w:val="17"/>
              </w:rPr>
              <w:t>Glue</w:t>
            </w:r>
          </w:p>
        </w:tc>
        <w:tc>
          <w:tcPr>
            <w:tcW w:type="dxa" w:w="3408"/>
          </w:tcPr>
          <w:p>
            <w:pPr>
              <w:spacing w:after="20" w:before="20"/>
            </w:pPr>
            <w:r/>
            <w:r>
              <w:rPr>
                <w:b w:val="0"/>
                <w:i w:val="0"/>
                <w:sz w:val="17"/>
              </w:rPr>
              <w:t>Normalisation, conformance and PII handling</w:t>
            </w:r>
          </w:p>
        </w:tc>
      </w:tr>
      <w:tr>
        <w:tc>
          <w:tcPr>
            <w:tcW w:type="dxa" w:w="3408"/>
          </w:tcPr>
          <w:p>
            <w:pPr>
              <w:spacing w:after="20" w:before="20"/>
            </w:pPr>
            <w:r/>
            <w:r>
              <w:rPr>
                <w:b w:val="0"/>
                <w:i w:val="0"/>
                <w:sz w:val="17"/>
              </w:rPr>
              <w:t>Curated lakehouse</w:t>
            </w:r>
          </w:p>
        </w:tc>
        <w:tc>
          <w:tcPr>
            <w:tcW w:type="dxa" w:w="3408"/>
          </w:tcPr>
          <w:p>
            <w:pPr>
              <w:spacing w:after="20" w:before="20"/>
            </w:pPr>
            <w:r/>
            <w:r>
              <w:rPr>
                <w:b w:val="0"/>
                <w:i w:val="0"/>
                <w:sz w:val="17"/>
              </w:rPr>
              <w:t>S3 with Glue Catalog (Iceberg)</w:t>
            </w:r>
          </w:p>
        </w:tc>
        <w:tc>
          <w:tcPr>
            <w:tcW w:type="dxa" w:w="3408"/>
          </w:tcPr>
          <w:p>
            <w:pPr>
              <w:spacing w:after="20" w:before="20"/>
            </w:pPr>
            <w:r/>
            <w:r>
              <w:rPr>
                <w:b w:val="0"/>
                <w:i w:val="0"/>
                <w:sz w:val="17"/>
              </w:rPr>
              <w:t>Conformed customer, account, interaction and case entities</w:t>
            </w:r>
          </w:p>
        </w:tc>
      </w:tr>
      <w:tr>
        <w:tc>
          <w:tcPr>
            <w:tcW w:type="dxa" w:w="3408"/>
          </w:tcPr>
          <w:p>
            <w:pPr>
              <w:spacing w:after="20" w:before="20"/>
            </w:pPr>
            <w:r/>
            <w:r>
              <w:rPr>
                <w:b w:val="0"/>
                <w:i w:val="0"/>
                <w:sz w:val="17"/>
              </w:rPr>
              <w:t>Operational store</w:t>
            </w:r>
          </w:p>
        </w:tc>
        <w:tc>
          <w:tcPr>
            <w:tcW w:type="dxa" w:w="3408"/>
          </w:tcPr>
          <w:p>
            <w:pPr>
              <w:spacing w:after="20" w:before="20"/>
            </w:pPr>
            <w:r/>
            <w:r>
              <w:rPr>
                <w:b w:val="0"/>
                <w:i w:val="0"/>
                <w:sz w:val="17"/>
              </w:rPr>
              <w:t>RDS PostgreSQL, Multi-AZ</w:t>
            </w:r>
          </w:p>
        </w:tc>
        <w:tc>
          <w:tcPr>
            <w:tcW w:type="dxa" w:w="3408"/>
          </w:tcPr>
          <w:p>
            <w:pPr>
              <w:spacing w:after="20" w:before="20"/>
            </w:pPr>
            <w:r/>
            <w:r>
              <w:rPr>
                <w:b w:val="0"/>
                <w:i w:val="0"/>
                <w:sz w:val="17"/>
              </w:rPr>
              <w:t>Transactional system of record</w:t>
            </w:r>
          </w:p>
        </w:tc>
      </w:tr>
      <w:tr>
        <w:tc>
          <w:tcPr>
            <w:tcW w:type="dxa" w:w="3408"/>
          </w:tcPr>
          <w:p>
            <w:pPr>
              <w:spacing w:after="20" w:before="20"/>
            </w:pPr>
            <w:r/>
            <w:r>
              <w:rPr>
                <w:b w:val="0"/>
                <w:i w:val="0"/>
                <w:sz w:val="17"/>
              </w:rPr>
              <w:t>Knowledge graph</w:t>
            </w:r>
          </w:p>
        </w:tc>
        <w:tc>
          <w:tcPr>
            <w:tcW w:type="dxa" w:w="3408"/>
          </w:tcPr>
          <w:p>
            <w:pPr>
              <w:spacing w:after="20" w:before="20"/>
            </w:pPr>
            <w:r/>
            <w:r>
              <w:rPr>
                <w:b w:val="0"/>
                <w:i w:val="0"/>
                <w:sz w:val="17"/>
              </w:rPr>
              <w:t>Neptune, or Neo4j on EKS</w:t>
            </w:r>
          </w:p>
        </w:tc>
        <w:tc>
          <w:tcPr>
            <w:tcW w:type="dxa" w:w="3408"/>
          </w:tcPr>
          <w:p>
            <w:pPr>
              <w:spacing w:after="20" w:before="20"/>
            </w:pPr>
            <w:r/>
            <w:r>
              <w:rPr>
                <w:b w:val="0"/>
                <w:i w:val="0"/>
                <w:sz w:val="17"/>
              </w:rPr>
              <w:t>Customer 360 and case continuity</w:t>
            </w:r>
          </w:p>
        </w:tc>
      </w:tr>
      <w:tr>
        <w:tc>
          <w:tcPr>
            <w:tcW w:type="dxa" w:w="3408"/>
          </w:tcPr>
          <w:p>
            <w:pPr>
              <w:spacing w:after="20" w:before="20"/>
            </w:pPr>
            <w:r/>
            <w:r>
              <w:rPr>
                <w:b w:val="0"/>
                <w:i w:val="0"/>
                <w:sz w:val="17"/>
              </w:rPr>
              <w:t>Search and vector</w:t>
            </w:r>
          </w:p>
        </w:tc>
        <w:tc>
          <w:tcPr>
            <w:tcW w:type="dxa" w:w="3408"/>
          </w:tcPr>
          <w:p>
            <w:pPr>
              <w:spacing w:after="20" w:before="20"/>
            </w:pPr>
            <w:r/>
            <w:r>
              <w:rPr>
                <w:b w:val="0"/>
                <w:i w:val="0"/>
                <w:sz w:val="17"/>
              </w:rPr>
              <w:t>Amazon OpenSearch Service</w:t>
            </w:r>
          </w:p>
        </w:tc>
        <w:tc>
          <w:tcPr>
            <w:tcW w:type="dxa" w:w="3408"/>
          </w:tcPr>
          <w:p>
            <w:pPr>
              <w:spacing w:after="20" w:before="20"/>
            </w:pPr>
            <w:r/>
            <w:r>
              <w:rPr>
                <w:b w:val="0"/>
                <w:i w:val="0"/>
                <w:sz w:val="17"/>
              </w:rPr>
              <w:t>Knowledge retrieval</w:t>
            </w:r>
          </w:p>
        </w:tc>
      </w:tr>
      <w:tr>
        <w:tc>
          <w:tcPr>
            <w:tcW w:type="dxa" w:w="3408"/>
          </w:tcPr>
          <w:p>
            <w:pPr>
              <w:spacing w:after="20" w:before="20"/>
            </w:pPr>
            <w:r/>
            <w:r>
              <w:rPr>
                <w:b w:val="0"/>
                <w:i w:val="0"/>
                <w:sz w:val="17"/>
              </w:rPr>
              <w:t>Analytics</w:t>
            </w:r>
          </w:p>
        </w:tc>
        <w:tc>
          <w:tcPr>
            <w:tcW w:type="dxa" w:w="3408"/>
          </w:tcPr>
          <w:p>
            <w:pPr>
              <w:spacing w:after="20" w:before="20"/>
            </w:pPr>
            <w:r/>
            <w:r>
              <w:rPr>
                <w:b w:val="0"/>
                <w:i w:val="0"/>
                <w:sz w:val="17"/>
              </w:rPr>
              <w:t>Athena and Redshift</w:t>
            </w:r>
          </w:p>
        </w:tc>
        <w:tc>
          <w:tcPr>
            <w:tcW w:type="dxa" w:w="3408"/>
          </w:tcPr>
          <w:p>
            <w:pPr>
              <w:spacing w:after="20" w:before="20"/>
            </w:pPr>
            <w:r/>
            <w:r>
              <w:rPr>
                <w:b w:val="0"/>
                <w:i w:val="0"/>
                <w:sz w:val="17"/>
              </w:rPr>
              <w:t>Contact-centre MI and regulatory reporting</w:t>
            </w:r>
          </w:p>
        </w:tc>
      </w:tr>
      <w:tr>
        <w:tc>
          <w:tcPr>
            <w:tcW w:type="dxa" w:w="3408"/>
          </w:tcPr>
          <w:p>
            <w:pPr>
              <w:spacing w:after="20" w:before="20"/>
            </w:pPr>
            <w:r/>
            <w:r>
              <w:rPr>
                <w:b w:val="0"/>
                <w:i w:val="0"/>
                <w:sz w:val="17"/>
              </w:rPr>
              <w:t>Orchestration</w:t>
            </w:r>
          </w:p>
        </w:tc>
        <w:tc>
          <w:tcPr>
            <w:tcW w:type="dxa" w:w="3408"/>
          </w:tcPr>
          <w:p>
            <w:pPr>
              <w:spacing w:after="20" w:before="20"/>
            </w:pPr>
            <w:r/>
            <w:r>
              <w:rPr>
                <w:b w:val="0"/>
                <w:i w:val="0"/>
                <w:sz w:val="17"/>
              </w:rPr>
              <w:t>Step Functions or MWAA</w:t>
            </w:r>
          </w:p>
        </w:tc>
        <w:tc>
          <w:tcPr>
            <w:tcW w:type="dxa" w:w="3408"/>
          </w:tcPr>
          <w:p>
            <w:pPr>
              <w:spacing w:after="20" w:before="20"/>
            </w:pPr>
            <w:r/>
            <w:r>
              <w:rPr>
                <w:b w:val="0"/>
                <w:i w:val="0"/>
                <w:sz w:val="17"/>
              </w:rPr>
              <w:t>Pipeline scheduling</w:t>
            </w:r>
          </w:p>
        </w:tc>
      </w:tr>
    </w:tbl>
    <w:p>
      <w:pPr>
        <w:spacing w:after="60"/>
      </w:pPr>
    </w:p>
    <w:p>
      <w:pPr>
        <w:pStyle w:val="Heading3"/>
        <w:keepNext/>
      </w:pPr>
      <w:r/>
      <w:r>
        <w:rPr>
          <w:b/>
          <w:i w:val="0"/>
        </w:rPr>
        <w:t>4.3 Immutability, quality and reporting</w:t>
      </w:r>
    </w:p>
    <w:p>
      <w:pPr>
        <w:pStyle w:val="ListBullet"/>
        <w:spacing w:after="40"/>
        <w:ind w:left="317"/>
      </w:pPr>
      <w:r>
        <w:rPr>
          <w:b/>
          <w:i w:val="0"/>
        </w:rPr>
        <w:t>Append-only record.</w:t>
      </w:r>
      <w:r>
        <w:rPr>
          <w:b w:val="0"/>
          <w:i w:val="0"/>
        </w:rPr>
        <w:t xml:space="preserve"> Customer-facing statements and decisions are recorded immutably. Corrections append as new timestamped records so the position at any past date can be reconstructed for audit</w:t>
      </w:r>
    </w:p>
    <w:p>
      <w:pPr>
        <w:pStyle w:val="ListBullet"/>
        <w:spacing w:after="40"/>
        <w:ind w:left="317"/>
      </w:pPr>
      <w:r>
        <w:rPr>
          <w:b/>
          <w:i w:val="0"/>
        </w:rPr>
        <w:t>Data quality.</w:t>
      </w:r>
      <w:r>
        <w:rPr>
          <w:b w:val="0"/>
          <w:i w:val="0"/>
        </w:rPr>
        <w:t xml:space="preserve"> Validation and quarantine at ingestion, reconciliation against source control totals, field-level lineage from source to any figure quoted to a customer, and freshness monitoring per feed</w:t>
      </w:r>
    </w:p>
    <w:p>
      <w:pPr>
        <w:pStyle w:val="ListBullet"/>
        <w:spacing w:after="40"/>
        <w:ind w:left="317"/>
      </w:pPr>
      <w:r>
        <w:rPr>
          <w:b/>
          <w:i w:val="0"/>
        </w:rPr>
        <w:t>Reporting.</w:t>
      </w:r>
      <w:r>
        <w:rPr>
          <w:b w:val="0"/>
          <w:i w:val="0"/>
        </w:rPr>
        <w:t xml:space="preserve"> Contact-centre MI by channel and category, regulatory grievance reporting, AI performance reporting, and business outcome measurement covering conversion, retention and cost-to-serve</w:t>
      </w:r>
    </w:p>
    <w:p>
      <w:pPr>
        <w:spacing w:before="40" w:after="40"/>
        <w:pBdr>
          <w:bottom w:val="single" w:sz="6" w:color="BFBFBF"/>
        </w:pBdr>
      </w:pPr>
    </w:p>
    <w:p>
      <w:pPr>
        <w:pStyle w:val="Heading2"/>
        <w:keepNext/>
      </w:pPr>
      <w:r/>
      <w:r>
        <w:rPr>
          <w:b/>
          <w:i w:val="0"/>
        </w:rPr>
        <w:t>5. Cloud and infrastructure (AWS)</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Component</w:t>
            </w:r>
          </w:p>
        </w:tc>
        <w:tc>
          <w:tcPr>
            <w:tcW w:type="dxa" w:w="5112"/>
            <w:shd w:val="clear" w:color="auto" w:fill="DCE6F1"/>
          </w:tcPr>
          <w:p>
            <w:pPr>
              <w:spacing w:after="20" w:before="20"/>
            </w:pPr>
            <w:r/>
            <w:r>
              <w:rPr>
                <w:b/>
                <w:i w:val="0"/>
                <w:sz w:val="17"/>
              </w:rPr>
              <w:t>Target</w:t>
            </w:r>
          </w:p>
        </w:tc>
      </w:tr>
      <w:tr>
        <w:tc>
          <w:tcPr>
            <w:tcW w:type="dxa" w:w="5112"/>
          </w:tcPr>
          <w:p>
            <w:pPr>
              <w:spacing w:after="20" w:before="20"/>
            </w:pPr>
            <w:r/>
            <w:r>
              <w:rPr>
                <w:b w:val="0"/>
                <w:i w:val="0"/>
                <w:sz w:val="17"/>
              </w:rPr>
              <w:t>Application</w:t>
            </w:r>
          </w:p>
        </w:tc>
        <w:tc>
          <w:tcPr>
            <w:tcW w:type="dxa" w:w="5112"/>
          </w:tcPr>
          <w:p>
            <w:pPr>
              <w:spacing w:after="20" w:before="20"/>
            </w:pPr>
            <w:r/>
            <w:r>
              <w:rPr>
                <w:b w:val="0"/>
                <w:i w:val="0"/>
                <w:sz w:val="17"/>
              </w:rPr>
              <w:t>ECS Fargate or EKS, multi-AZ, behind an Application Load Balancer</w:t>
            </w:r>
          </w:p>
        </w:tc>
      </w:tr>
      <w:tr>
        <w:tc>
          <w:tcPr>
            <w:tcW w:type="dxa" w:w="5112"/>
          </w:tcPr>
          <w:p>
            <w:pPr>
              <w:spacing w:after="20" w:before="20"/>
            </w:pPr>
            <w:r/>
            <w:r>
              <w:rPr>
                <w:b w:val="0"/>
                <w:i w:val="0"/>
                <w:sz w:val="17"/>
              </w:rPr>
              <w:t>Edge</w:t>
            </w:r>
          </w:p>
        </w:tc>
        <w:tc>
          <w:tcPr>
            <w:tcW w:type="dxa" w:w="5112"/>
          </w:tcPr>
          <w:p>
            <w:pPr>
              <w:spacing w:after="20" w:before="20"/>
            </w:pPr>
            <w:r/>
            <w:r>
              <w:rPr>
                <w:b w:val="0"/>
                <w:i w:val="0"/>
                <w:sz w:val="17"/>
              </w:rPr>
              <w:t>API Gateway or ALB with WAF</w:t>
            </w:r>
          </w:p>
        </w:tc>
      </w:tr>
      <w:tr>
        <w:tc>
          <w:tcPr>
            <w:tcW w:type="dxa" w:w="5112"/>
          </w:tcPr>
          <w:p>
            <w:pPr>
              <w:spacing w:after="20" w:before="20"/>
            </w:pPr>
            <w:r/>
            <w:r>
              <w:rPr>
                <w:b w:val="0"/>
                <w:i w:val="0"/>
                <w:sz w:val="17"/>
              </w:rPr>
              <w:t>Data stores</w:t>
            </w:r>
          </w:p>
        </w:tc>
        <w:tc>
          <w:tcPr>
            <w:tcW w:type="dxa" w:w="5112"/>
          </w:tcPr>
          <w:p>
            <w:pPr>
              <w:spacing w:after="20" w:before="20"/>
            </w:pPr>
            <w:r/>
            <w:r>
              <w:rPr>
                <w:b w:val="0"/>
                <w:i w:val="0"/>
                <w:sz w:val="17"/>
              </w:rPr>
              <w:t>RDS Multi-AZ, OpenSearch Service, Neptune - all in private subnets</w:t>
            </w:r>
          </w:p>
        </w:tc>
      </w:tr>
      <w:tr>
        <w:tc>
          <w:tcPr>
            <w:tcW w:type="dxa" w:w="5112"/>
          </w:tcPr>
          <w:p>
            <w:pPr>
              <w:spacing w:after="20" w:before="20"/>
            </w:pPr>
            <w:r/>
            <w:r>
              <w:rPr>
                <w:b w:val="0"/>
                <w:i w:val="0"/>
                <w:sz w:val="17"/>
              </w:rPr>
              <w:t>Secrets</w:t>
            </w:r>
          </w:p>
        </w:tc>
        <w:tc>
          <w:tcPr>
            <w:tcW w:type="dxa" w:w="5112"/>
          </w:tcPr>
          <w:p>
            <w:pPr>
              <w:spacing w:after="20" w:before="20"/>
            </w:pPr>
            <w:r/>
            <w:r>
              <w:rPr>
                <w:b w:val="0"/>
                <w:i w:val="0"/>
                <w:sz w:val="17"/>
              </w:rPr>
              <w:t>AWS Secrets Manager with rotation</w:t>
            </w:r>
          </w:p>
        </w:tc>
      </w:tr>
      <w:tr>
        <w:tc>
          <w:tcPr>
            <w:tcW w:type="dxa" w:w="5112"/>
          </w:tcPr>
          <w:p>
            <w:pPr>
              <w:spacing w:after="20" w:before="20"/>
            </w:pPr>
            <w:r/>
            <w:r>
              <w:rPr>
                <w:b w:val="0"/>
                <w:i w:val="0"/>
                <w:sz w:val="17"/>
              </w:rPr>
              <w:t>Asynchronous processing</w:t>
            </w:r>
          </w:p>
        </w:tc>
        <w:tc>
          <w:tcPr>
            <w:tcW w:type="dxa" w:w="5112"/>
          </w:tcPr>
          <w:p>
            <w:pPr>
              <w:spacing w:after="20" w:before="20"/>
            </w:pPr>
            <w:r/>
            <w:r>
              <w:rPr>
                <w:b w:val="0"/>
                <w:i w:val="0"/>
                <w:sz w:val="17"/>
              </w:rPr>
              <w:t>SQS for outbound delivery and long-running work</w:t>
            </w:r>
          </w:p>
        </w:tc>
      </w:tr>
      <w:tr>
        <w:tc>
          <w:tcPr>
            <w:tcW w:type="dxa" w:w="5112"/>
          </w:tcPr>
          <w:p>
            <w:pPr>
              <w:spacing w:after="20" w:before="20"/>
            </w:pPr>
            <w:r/>
            <w:r>
              <w:rPr>
                <w:b w:val="0"/>
                <w:i w:val="0"/>
                <w:sz w:val="17"/>
              </w:rPr>
              <w:t>Scheduling</w:t>
            </w:r>
          </w:p>
        </w:tc>
        <w:tc>
          <w:tcPr>
            <w:tcW w:type="dxa" w:w="5112"/>
          </w:tcPr>
          <w:p>
            <w:pPr>
              <w:spacing w:after="20" w:before="20"/>
            </w:pPr>
            <w:r/>
            <w:r>
              <w:rPr>
                <w:b w:val="0"/>
                <w:i w:val="0"/>
                <w:sz w:val="17"/>
              </w:rPr>
              <w:t>EventBridge for proactive engagement cadences</w:t>
            </w:r>
          </w:p>
        </w:tc>
      </w:tr>
    </w:tbl>
    <w:p>
      <w:pPr>
        <w:spacing w:after="60"/>
      </w:pPr>
    </w:p>
    <w:p>
      <w:r>
        <w:rPr>
          <w:b/>
          <w:i w:val="0"/>
        </w:rPr>
        <w:t>Security.</w:t>
      </w:r>
      <w:r>
        <w:rPr>
          <w:b w:val="0"/>
          <w:i w:val="0"/>
        </w:rPr>
        <w:t xml:space="preserve"> TLS in transit and KMS-managed encryption at rest across all stores; least-privilege IAM roles per service; deployment in an Indian region with data localisation for payment data; PII masked before any text leaves the client boundary; penetration testing and vulnerability scanning before go-live.</w:t>
      </w:r>
    </w:p>
    <w:p>
      <w:r>
        <w:rPr>
          <w:b/>
          <w:i w:val="0"/>
        </w:rPr>
        <w:t>Availability and continuity.</w:t>
      </w:r>
      <w:r>
        <w:rPr>
          <w:b w:val="0"/>
          <w:i w:val="0"/>
        </w:rPr>
        <w:t xml:space="preserve"> Multi-AZ as the baseline, horizontal scaling of stateless services, queue-backed outbound delivery, agreed RPO and RTO with tested restore, cross-region backup and a documented failover runbook.</w:t>
      </w:r>
    </w:p>
    <w:p>
      <w:r>
        <w:rPr>
          <w:b/>
          <w:i w:val="0"/>
        </w:rPr>
        <w:t>Delivery.</w:t>
      </w:r>
      <w:r>
        <w:rPr>
          <w:b w:val="0"/>
          <w:i w:val="0"/>
        </w:rPr>
        <w:t xml:space="preserve"> Separate development, UAT and production accounts; infrastructure as code; CI/CD with automated testing and controlled promotion; blue-green or canary release with rollback.</w:t>
      </w:r>
    </w:p>
    <w:p>
      <w:pPr>
        <w:spacing w:before="40" w:after="40"/>
        <w:pBdr>
          <w:bottom w:val="single" w:sz="6" w:color="BFBFBF"/>
        </w:pBdr>
      </w:pPr>
    </w:p>
    <w:p>
      <w:pPr>
        <w:pStyle w:val="Heading2"/>
        <w:keepNext/>
      </w:pPr>
      <w:r/>
      <w:r>
        <w:rPr>
          <w:b/>
          <w:i w:val="0"/>
        </w:rPr>
        <w:t>6. AI platform and operations</w:t>
      </w:r>
    </w:p>
    <w:tbl>
      <w:tblPr>
        <w:tblStyle w:val="TableGrid"/>
        <w:tblW w:type="auto" w:w="0"/>
        <w:jc w:val="left"/>
        <w:tblLayout w:type="autofit"/>
        <w:tblLook w:firstColumn="1" w:firstRow="1" w:lastColumn="0" w:lastRow="0" w:noHBand="0" w:noVBand="1" w:val="04A0"/>
      </w:tblPr>
      <w:tblGrid>
        <w:gridCol w:w="3408"/>
        <w:gridCol w:w="3408"/>
        <w:gridCol w:w="3408"/>
      </w:tblGrid>
      <w:tr>
        <w:tc>
          <w:tcPr>
            <w:tcW w:type="dxa" w:w="3408"/>
            <w:shd w:val="clear" w:color="auto" w:fill="DCE6F1"/>
          </w:tcPr>
          <w:p>
            <w:pPr>
              <w:spacing w:after="20" w:before="20"/>
            </w:pPr>
            <w:r/>
            <w:r>
              <w:rPr>
                <w:b/>
                <w:i w:val="0"/>
                <w:sz w:val="17"/>
              </w:rPr>
              <w:t>Capability</w:t>
            </w:r>
          </w:p>
        </w:tc>
        <w:tc>
          <w:tcPr>
            <w:tcW w:type="dxa" w:w="3408"/>
            <w:shd w:val="clear" w:color="auto" w:fill="DCE6F1"/>
          </w:tcPr>
          <w:p>
            <w:pPr>
              <w:spacing w:after="20" w:before="20"/>
            </w:pPr>
            <w:r/>
            <w:r>
              <w:rPr>
                <w:b/>
                <w:i w:val="0"/>
                <w:sz w:val="17"/>
              </w:rPr>
              <w:t>Accelerator demonstrates</w:t>
            </w:r>
          </w:p>
        </w:tc>
        <w:tc>
          <w:tcPr>
            <w:tcW w:type="dxa" w:w="3408"/>
            <w:shd w:val="clear" w:color="auto" w:fill="DCE6F1"/>
          </w:tcPr>
          <w:p>
            <w:pPr>
              <w:spacing w:after="20" w:before="20"/>
            </w:pPr>
            <w:r/>
            <w:r>
              <w:rPr>
                <w:b/>
                <w:i w:val="0"/>
                <w:sz w:val="17"/>
              </w:rPr>
              <w:t>Production scope</w:t>
            </w:r>
          </w:p>
        </w:tc>
      </w:tr>
      <w:tr>
        <w:tc>
          <w:tcPr>
            <w:tcW w:type="dxa" w:w="3408"/>
          </w:tcPr>
          <w:p>
            <w:pPr>
              <w:spacing w:after="20" w:before="20"/>
            </w:pPr>
            <w:r/>
            <w:r>
              <w:rPr>
                <w:b w:val="0"/>
                <w:i w:val="0"/>
                <w:sz w:val="17"/>
              </w:rPr>
              <w:t>Model strategy</w:t>
            </w:r>
          </w:p>
        </w:tc>
        <w:tc>
          <w:tcPr>
            <w:tcW w:type="dxa" w:w="3408"/>
          </w:tcPr>
          <w:p>
            <w:pPr>
              <w:spacing w:after="20" w:before="20"/>
            </w:pPr>
            <w:r/>
            <w:r>
              <w:rPr>
                <w:b w:val="0"/>
                <w:i w:val="0"/>
                <w:sz w:val="17"/>
              </w:rPr>
              <w:t>Configurable model provider</w:t>
            </w:r>
          </w:p>
        </w:tc>
        <w:tc>
          <w:tcPr>
            <w:tcW w:type="dxa" w:w="3408"/>
          </w:tcPr>
          <w:p>
            <w:pPr>
              <w:spacing w:after="20" w:before="20"/>
            </w:pPr>
            <w:r/>
            <w:r>
              <w:rPr>
                <w:b w:val="0"/>
                <w:i w:val="0"/>
                <w:sz w:val="17"/>
              </w:rPr>
              <w:t>Multi-model strategy with automatic failover; Amazon Bedrock for in-account inference and data-residency alignment</w:t>
            </w:r>
          </w:p>
        </w:tc>
      </w:tr>
      <w:tr>
        <w:tc>
          <w:tcPr>
            <w:tcW w:type="dxa" w:w="3408"/>
          </w:tcPr>
          <w:p>
            <w:pPr>
              <w:spacing w:after="20" w:before="20"/>
            </w:pPr>
            <w:r/>
            <w:r>
              <w:rPr>
                <w:b w:val="0"/>
                <w:i w:val="0"/>
                <w:sz w:val="17"/>
              </w:rPr>
              <w:t>Resilience</w:t>
            </w:r>
          </w:p>
        </w:tc>
        <w:tc>
          <w:tcPr>
            <w:tcW w:type="dxa" w:w="3408"/>
          </w:tcPr>
          <w:p>
            <w:pPr>
              <w:spacing w:after="20" w:before="20"/>
            </w:pPr>
            <w:r/>
            <w:r>
              <w:rPr>
                <w:b w:val="0"/>
                <w:i w:val="0"/>
                <w:sz w:val="17"/>
              </w:rPr>
              <w:t>Bounded call timeouts with safe fallback behaviour</w:t>
            </w:r>
          </w:p>
        </w:tc>
        <w:tc>
          <w:tcPr>
            <w:tcW w:type="dxa" w:w="3408"/>
          </w:tcPr>
          <w:p>
            <w:pPr>
              <w:spacing w:after="20" w:before="20"/>
            </w:pPr>
            <w:r/>
            <w:r>
              <w:rPr>
                <w:b w:val="0"/>
                <w:i w:val="0"/>
                <w:sz w:val="17"/>
              </w:rPr>
              <w:t>Retry with backoff, circuit breaking and graceful degradation to a deterministic path</w:t>
            </w:r>
          </w:p>
        </w:tc>
      </w:tr>
      <w:tr>
        <w:tc>
          <w:tcPr>
            <w:tcW w:type="dxa" w:w="3408"/>
          </w:tcPr>
          <w:p>
            <w:pPr>
              <w:spacing w:after="20" w:before="20"/>
            </w:pPr>
            <w:r/>
            <w:r>
              <w:rPr>
                <w:b w:val="0"/>
                <w:i w:val="0"/>
                <w:sz w:val="17"/>
              </w:rPr>
              <w:t>Throughput and cost</w:t>
            </w:r>
          </w:p>
        </w:tc>
        <w:tc>
          <w:tcPr>
            <w:tcW w:type="dxa" w:w="3408"/>
          </w:tcPr>
          <w:p>
            <w:pPr>
              <w:spacing w:after="20" w:before="20"/>
            </w:pPr>
            <w:r/>
            <w:r>
              <w:rPr>
                <w:b w:val="0"/>
                <w:i w:val="0"/>
                <w:sz w:val="17"/>
              </w:rPr>
              <w:t>Per-call token and cost accounting on every operation</w:t>
            </w:r>
          </w:p>
        </w:tc>
        <w:tc>
          <w:tcPr>
            <w:tcW w:type="dxa" w:w="3408"/>
          </w:tcPr>
          <w:p>
            <w:pPr>
              <w:spacing w:after="20" w:before="20"/>
            </w:pPr>
            <w:r/>
            <w:r>
              <w:rPr>
                <w:b w:val="0"/>
                <w:i w:val="0"/>
                <w:sz w:val="17"/>
              </w:rPr>
              <w:t>Capacity modelled against contact volumes, with provisioned throughput and per-interaction cost budgets</w:t>
            </w:r>
          </w:p>
        </w:tc>
      </w:tr>
      <w:tr>
        <w:tc>
          <w:tcPr>
            <w:tcW w:type="dxa" w:w="3408"/>
          </w:tcPr>
          <w:p>
            <w:pPr>
              <w:spacing w:after="20" w:before="20"/>
            </w:pPr>
            <w:r/>
            <w:r>
              <w:rPr>
                <w:b w:val="0"/>
                <w:i w:val="0"/>
                <w:sz w:val="17"/>
              </w:rPr>
              <w:t>Prompt and model governance</w:t>
            </w:r>
          </w:p>
        </w:tc>
        <w:tc>
          <w:tcPr>
            <w:tcW w:type="dxa" w:w="3408"/>
          </w:tcPr>
          <w:p>
            <w:pPr>
              <w:spacing w:after="20" w:before="20"/>
            </w:pPr>
            <w:r/>
            <w:r>
              <w:rPr>
                <w:b w:val="0"/>
                <w:i w:val="0"/>
                <w:sz w:val="17"/>
              </w:rPr>
              <w:t>Prompt configuration versioned per call</w:t>
            </w:r>
          </w:p>
        </w:tc>
        <w:tc>
          <w:tcPr>
            <w:tcW w:type="dxa" w:w="3408"/>
          </w:tcPr>
          <w:p>
            <w:pPr>
              <w:spacing w:after="20" w:before="20"/>
            </w:pPr>
            <w:r/>
            <w:r>
              <w:rPr>
                <w:b w:val="0"/>
                <w:i w:val="0"/>
                <w:sz w:val="17"/>
              </w:rPr>
              <w:t>Prompts and model versions managed as controlled, releasable artefacts with regression testing and rollback</w:t>
            </w:r>
          </w:p>
        </w:tc>
      </w:tr>
      <w:tr>
        <w:tc>
          <w:tcPr>
            <w:tcW w:type="dxa" w:w="3408"/>
          </w:tcPr>
          <w:p>
            <w:pPr>
              <w:spacing w:after="20" w:before="20"/>
            </w:pPr>
            <w:r/>
            <w:r>
              <w:rPr>
                <w:b w:val="0"/>
                <w:i w:val="0"/>
                <w:sz w:val="17"/>
              </w:rPr>
              <w:t>Observability</w:t>
            </w:r>
          </w:p>
        </w:tc>
        <w:tc>
          <w:tcPr>
            <w:tcW w:type="dxa" w:w="3408"/>
          </w:tcPr>
          <w:p>
            <w:pPr>
              <w:spacing w:after="20" w:before="20"/>
            </w:pPr>
            <w:r/>
            <w:r>
              <w:rPr>
                <w:b w:val="0"/>
                <w:i w:val="0"/>
                <w:sz w:val="17"/>
              </w:rPr>
              <w:t>Full tracing of AI decisions, retrievals and model calls</w:t>
            </w:r>
          </w:p>
        </w:tc>
        <w:tc>
          <w:tcPr>
            <w:tcW w:type="dxa" w:w="3408"/>
          </w:tcPr>
          <w:p>
            <w:pPr>
              <w:spacing w:after="20" w:before="20"/>
            </w:pPr>
            <w:r/>
            <w:r>
              <w:rPr>
                <w:b w:val="0"/>
                <w:i w:val="0"/>
                <w:sz w:val="17"/>
              </w:rPr>
              <w:t>Centralised logging and metrics, latency and error-rate alerting, defined severities and on-call runbooks</w:t>
            </w:r>
          </w:p>
        </w:tc>
      </w:tr>
    </w:tbl>
    <w:p>
      <w:pPr>
        <w:spacing w:after="60"/>
      </w:pPr>
    </w:p>
    <w:p>
      <w:pPr>
        <w:spacing w:before="40" w:after="40"/>
        <w:pBdr>
          <w:bottom w:val="single" w:sz="6" w:color="BFBFBF"/>
        </w:pBdr>
      </w:pPr>
    </w:p>
    <w:p>
      <w:pPr>
        <w:pStyle w:val="Heading2"/>
        <w:keepNext/>
      </w:pPr>
      <w:r/>
      <w:r>
        <w:rPr>
          <w:b/>
          <w:i w:val="0"/>
        </w:rPr>
        <w:t>7. Knowledge governance</w:t>
      </w:r>
    </w:p>
    <w:p>
      <w:r>
        <w:rPr>
          <w:b w:val="0"/>
          <w:i w:val="0"/>
        </w:rPr>
        <w:t>Knowledge control is a first-class requirement in BFSI: interest rates, fee schedules and product terms change on defined dates, and serving superseded terms carries regulatory exposure.</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Control</w:t>
            </w:r>
          </w:p>
        </w:tc>
        <w:tc>
          <w:tcPr>
            <w:tcW w:type="dxa" w:w="5112"/>
            <w:shd w:val="clear" w:color="auto" w:fill="DCE6F1"/>
          </w:tcPr>
          <w:p>
            <w:pPr>
              <w:spacing w:after="20" w:before="20"/>
            </w:pPr>
            <w:r/>
            <w:r>
              <w:rPr>
                <w:b/>
                <w:i w:val="0"/>
                <w:sz w:val="17"/>
              </w:rPr>
              <w:t>Production requirement</w:t>
            </w:r>
          </w:p>
        </w:tc>
      </w:tr>
      <w:tr>
        <w:tc>
          <w:tcPr>
            <w:tcW w:type="dxa" w:w="5112"/>
          </w:tcPr>
          <w:p>
            <w:pPr>
              <w:spacing w:after="20" w:before="20"/>
            </w:pPr>
            <w:r/>
            <w:r>
              <w:rPr>
                <w:b w:val="0"/>
                <w:i w:val="0"/>
                <w:sz w:val="17"/>
              </w:rPr>
              <w:t>Ownership</w:t>
            </w:r>
          </w:p>
        </w:tc>
        <w:tc>
          <w:tcPr>
            <w:tcW w:type="dxa" w:w="5112"/>
          </w:tcPr>
          <w:p>
            <w:pPr>
              <w:spacing w:after="20" w:before="20"/>
            </w:pPr>
            <w:r/>
            <w:r>
              <w:rPr>
                <w:b w:val="0"/>
                <w:i w:val="0"/>
                <w:sz w:val="17"/>
              </w:rPr>
              <w:t>Named business owner for each knowledge domain</w:t>
            </w:r>
          </w:p>
        </w:tc>
      </w:tr>
      <w:tr>
        <w:tc>
          <w:tcPr>
            <w:tcW w:type="dxa" w:w="5112"/>
          </w:tcPr>
          <w:p>
            <w:pPr>
              <w:spacing w:after="20" w:before="20"/>
            </w:pPr>
            <w:r/>
            <w:r>
              <w:rPr>
                <w:b w:val="0"/>
                <w:i w:val="0"/>
                <w:sz w:val="17"/>
              </w:rPr>
              <w:t>Approval</w:t>
            </w:r>
          </w:p>
        </w:tc>
        <w:tc>
          <w:tcPr>
            <w:tcW w:type="dxa" w:w="5112"/>
          </w:tcPr>
          <w:p>
            <w:pPr>
              <w:spacing w:after="20" w:before="20"/>
            </w:pPr>
            <w:r/>
            <w:r>
              <w:rPr>
                <w:b w:val="0"/>
                <w:i w:val="0"/>
                <w:sz w:val="17"/>
              </w:rPr>
              <w:t>Business, compliance and legal sign-off before publication</w:t>
            </w:r>
          </w:p>
        </w:tc>
      </w:tr>
      <w:tr>
        <w:tc>
          <w:tcPr>
            <w:tcW w:type="dxa" w:w="5112"/>
          </w:tcPr>
          <w:p>
            <w:pPr>
              <w:spacing w:after="20" w:before="20"/>
            </w:pPr>
            <w:r/>
            <w:r>
              <w:rPr>
                <w:b w:val="0"/>
                <w:i w:val="0"/>
                <w:sz w:val="17"/>
              </w:rPr>
              <w:t>Version and effective date</w:t>
            </w:r>
          </w:p>
        </w:tc>
        <w:tc>
          <w:tcPr>
            <w:tcW w:type="dxa" w:w="5112"/>
          </w:tcPr>
          <w:p>
            <w:pPr>
              <w:spacing w:after="20" w:before="20"/>
            </w:pPr>
            <w:r/>
            <w:r>
              <w:rPr>
                <w:b w:val="0"/>
                <w:i w:val="0"/>
                <w:sz w:val="17"/>
              </w:rPr>
              <w:t>Real version identifiers, with effective and expiry dates</w:t>
            </w:r>
          </w:p>
        </w:tc>
      </w:tr>
      <w:tr>
        <w:tc>
          <w:tcPr>
            <w:tcW w:type="dxa" w:w="5112"/>
          </w:tcPr>
          <w:p>
            <w:pPr>
              <w:spacing w:after="20" w:before="20"/>
            </w:pPr>
            <w:r/>
            <w:r>
              <w:rPr>
                <w:b w:val="0"/>
                <w:i w:val="0"/>
                <w:sz w:val="17"/>
              </w:rPr>
              <w:t>Expiry</w:t>
            </w:r>
          </w:p>
        </w:tc>
        <w:tc>
          <w:tcPr>
            <w:tcW w:type="dxa" w:w="5112"/>
          </w:tcPr>
          <w:p>
            <w:pPr>
              <w:spacing w:after="20" w:before="20"/>
            </w:pPr>
            <w:r/>
            <w:r>
              <w:rPr>
                <w:b w:val="0"/>
                <w:i w:val="0"/>
                <w:sz w:val="17"/>
              </w:rPr>
              <w:t>Superseded content blocked from retrieval, not merely deprioritised</w:t>
            </w:r>
          </w:p>
        </w:tc>
      </w:tr>
      <w:tr>
        <w:tc>
          <w:tcPr>
            <w:tcW w:type="dxa" w:w="5112"/>
          </w:tcPr>
          <w:p>
            <w:pPr>
              <w:spacing w:after="20" w:before="20"/>
            </w:pPr>
            <w:r/>
            <w:r>
              <w:rPr>
                <w:b w:val="0"/>
                <w:i w:val="0"/>
                <w:sz w:val="17"/>
              </w:rPr>
              <w:t>Scope</w:t>
            </w:r>
          </w:p>
        </w:tc>
        <w:tc>
          <w:tcPr>
            <w:tcW w:type="dxa" w:w="5112"/>
          </w:tcPr>
          <w:p>
            <w:pPr>
              <w:spacing w:after="20" w:before="20"/>
            </w:pPr>
            <w:r/>
            <w:r>
              <w:rPr>
                <w:b w:val="0"/>
                <w:i w:val="0"/>
                <w:sz w:val="17"/>
              </w:rPr>
              <w:t>Applicability by entity, product, geography and language</w:t>
            </w:r>
          </w:p>
        </w:tc>
      </w:tr>
      <w:tr>
        <w:tc>
          <w:tcPr>
            <w:tcW w:type="dxa" w:w="5112"/>
          </w:tcPr>
          <w:p>
            <w:pPr>
              <w:spacing w:after="20" w:before="20"/>
            </w:pPr>
            <w:r/>
            <w:r>
              <w:rPr>
                <w:b w:val="0"/>
                <w:i w:val="0"/>
                <w:sz w:val="17"/>
              </w:rPr>
              <w:t>Traceability</w:t>
            </w:r>
          </w:p>
        </w:tc>
        <w:tc>
          <w:tcPr>
            <w:tcW w:type="dxa" w:w="5112"/>
          </w:tcPr>
          <w:p>
            <w:pPr>
              <w:spacing w:after="20" w:before="20"/>
            </w:pPr>
            <w:r/>
            <w:r>
              <w:rPr>
                <w:b w:val="0"/>
                <w:i w:val="0"/>
                <w:sz w:val="17"/>
              </w:rPr>
              <w:t>Every answer traceable to the retrieved source that supports it</w:t>
            </w:r>
          </w:p>
        </w:tc>
      </w:tr>
      <w:tr>
        <w:tc>
          <w:tcPr>
            <w:tcW w:type="dxa" w:w="5112"/>
          </w:tcPr>
          <w:p>
            <w:pPr>
              <w:spacing w:after="20" w:before="20"/>
            </w:pPr>
            <w:r/>
            <w:r>
              <w:rPr>
                <w:b w:val="0"/>
                <w:i w:val="0"/>
                <w:sz w:val="17"/>
              </w:rPr>
              <w:t>Change management</w:t>
            </w:r>
          </w:p>
        </w:tc>
        <w:tc>
          <w:tcPr>
            <w:tcW w:type="dxa" w:w="5112"/>
          </w:tcPr>
          <w:p>
            <w:pPr>
              <w:spacing w:after="20" w:before="20"/>
            </w:pPr>
            <w:r/>
            <w:r>
              <w:rPr>
                <w:b w:val="0"/>
                <w:i w:val="0"/>
                <w:sz w:val="17"/>
              </w:rPr>
              <w:t>Changes tested in a lower environment before production use</w:t>
            </w:r>
          </w:p>
        </w:tc>
      </w:tr>
      <w:tr>
        <w:tc>
          <w:tcPr>
            <w:tcW w:type="dxa" w:w="5112"/>
          </w:tcPr>
          <w:p>
            <w:pPr>
              <w:spacing w:after="20" w:before="20"/>
            </w:pPr>
            <w:r/>
            <w:r>
              <w:rPr>
                <w:b w:val="0"/>
                <w:i w:val="0"/>
                <w:sz w:val="17"/>
              </w:rPr>
              <w:t>Rollback</w:t>
            </w:r>
          </w:p>
        </w:tc>
        <w:tc>
          <w:tcPr>
            <w:tcW w:type="dxa" w:w="5112"/>
          </w:tcPr>
          <w:p>
            <w:pPr>
              <w:spacing w:after="20" w:before="20"/>
            </w:pPr>
            <w:r/>
            <w:r>
              <w:rPr>
                <w:b w:val="0"/>
                <w:i w:val="0"/>
                <w:sz w:val="17"/>
              </w:rPr>
              <w:t>Ability to revert a knowledge, prompt or model release</w:t>
            </w:r>
          </w:p>
        </w:tc>
      </w:tr>
    </w:tbl>
    <w:p>
      <w:pPr>
        <w:spacing w:after="60"/>
      </w:pPr>
    </w:p>
    <w:p>
      <w:pPr>
        <w:spacing w:before="40" w:after="40"/>
        <w:pBdr>
          <w:bottom w:val="single" w:sz="6" w:color="BFBFBF"/>
        </w:pBdr>
      </w:pPr>
    </w:p>
    <w:p>
      <w:pPr>
        <w:pStyle w:val="Heading2"/>
        <w:keepNext/>
      </w:pPr>
      <w:r/>
      <w:r>
        <w:rPr>
          <w:b/>
          <w:i w:val="0"/>
        </w:rPr>
        <w:t>8. AI assurance and evaluation</w:t>
      </w:r>
    </w:p>
    <w:p>
      <w:r>
        <w:rPr>
          <w:b w:val="0"/>
          <w:i w:val="0"/>
        </w:rPr>
        <w:t>A production deployment is governed by measured performance against agreed targets. For each metric the engagement defines the formula, the evaluation sample, the target and the confidence interval.</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Metric</w:t>
            </w:r>
          </w:p>
        </w:tc>
        <w:tc>
          <w:tcPr>
            <w:tcW w:type="dxa" w:w="5112"/>
            <w:shd w:val="clear" w:color="auto" w:fill="DCE6F1"/>
          </w:tcPr>
          <w:p>
            <w:pPr>
              <w:spacing w:after="20" w:before="20"/>
            </w:pPr>
            <w:r/>
            <w:r>
              <w:rPr>
                <w:b/>
                <w:i w:val="0"/>
                <w:sz w:val="17"/>
              </w:rPr>
              <w:t>Measures</w:t>
            </w:r>
          </w:p>
        </w:tc>
      </w:tr>
      <w:tr>
        <w:tc>
          <w:tcPr>
            <w:tcW w:type="dxa" w:w="5112"/>
          </w:tcPr>
          <w:p>
            <w:pPr>
              <w:spacing w:after="20" w:before="20"/>
            </w:pPr>
            <w:r/>
            <w:r>
              <w:rPr>
                <w:b w:val="0"/>
                <w:i w:val="0"/>
                <w:sz w:val="17"/>
              </w:rPr>
              <w:t>Intent accuracy</w:t>
            </w:r>
          </w:p>
        </w:tc>
        <w:tc>
          <w:tcPr>
            <w:tcW w:type="dxa" w:w="5112"/>
          </w:tcPr>
          <w:p>
            <w:pPr>
              <w:spacing w:after="20" w:before="20"/>
            </w:pPr>
            <w:r/>
            <w:r>
              <w:rPr>
                <w:b w:val="0"/>
                <w:i w:val="0"/>
                <w:sz w:val="17"/>
              </w:rPr>
              <w:t>Correct classification against a labelled set</w:t>
            </w:r>
          </w:p>
        </w:tc>
      </w:tr>
      <w:tr>
        <w:tc>
          <w:tcPr>
            <w:tcW w:type="dxa" w:w="5112"/>
          </w:tcPr>
          <w:p>
            <w:pPr>
              <w:spacing w:after="20" w:before="20"/>
            </w:pPr>
            <w:r/>
            <w:r>
              <w:rPr>
                <w:b w:val="0"/>
                <w:i w:val="0"/>
                <w:sz w:val="17"/>
              </w:rPr>
              <w:t>Retrieval relevance</w:t>
            </w:r>
          </w:p>
        </w:tc>
        <w:tc>
          <w:tcPr>
            <w:tcW w:type="dxa" w:w="5112"/>
          </w:tcPr>
          <w:p>
            <w:pPr>
              <w:spacing w:after="20" w:before="20"/>
            </w:pPr>
            <w:r/>
            <w:r>
              <w:rPr>
                <w:b w:val="0"/>
                <w:i w:val="0"/>
                <w:sz w:val="17"/>
              </w:rPr>
              <w:t>Quality of retrieved evidence</w:t>
            </w:r>
          </w:p>
        </w:tc>
      </w:tr>
      <w:tr>
        <w:tc>
          <w:tcPr>
            <w:tcW w:type="dxa" w:w="5112"/>
          </w:tcPr>
          <w:p>
            <w:pPr>
              <w:spacing w:after="20" w:before="20"/>
            </w:pPr>
            <w:r/>
            <w:r>
              <w:rPr>
                <w:b w:val="0"/>
                <w:i w:val="0"/>
                <w:sz w:val="17"/>
              </w:rPr>
              <w:t>Groundedness</w:t>
            </w:r>
          </w:p>
        </w:tc>
        <w:tc>
          <w:tcPr>
            <w:tcW w:type="dxa" w:w="5112"/>
          </w:tcPr>
          <w:p>
            <w:pPr>
              <w:spacing w:after="20" w:before="20"/>
            </w:pPr>
            <w:r/>
            <w:r>
              <w:rPr>
                <w:b w:val="0"/>
                <w:i w:val="0"/>
                <w:sz w:val="17"/>
              </w:rPr>
              <w:t>Whether answers are supported by retrieved sources</w:t>
            </w:r>
          </w:p>
        </w:tc>
      </w:tr>
      <w:tr>
        <w:tc>
          <w:tcPr>
            <w:tcW w:type="dxa" w:w="5112"/>
          </w:tcPr>
          <w:p>
            <w:pPr>
              <w:spacing w:after="20" w:before="20"/>
            </w:pPr>
            <w:r/>
            <w:r>
              <w:rPr>
                <w:b w:val="0"/>
                <w:i w:val="0"/>
                <w:sz w:val="17"/>
              </w:rPr>
              <w:t>Hallucination rate</w:t>
            </w:r>
          </w:p>
        </w:tc>
        <w:tc>
          <w:tcPr>
            <w:tcW w:type="dxa" w:w="5112"/>
          </w:tcPr>
          <w:p>
            <w:pPr>
              <w:spacing w:after="20" w:before="20"/>
            </w:pPr>
            <w:r/>
            <w:r>
              <w:rPr>
                <w:b w:val="0"/>
                <w:i w:val="0"/>
                <w:sz w:val="17"/>
              </w:rPr>
              <w:t>Unsupported content, detected and bounded</w:t>
            </w:r>
          </w:p>
        </w:tc>
      </w:tr>
      <w:tr>
        <w:tc>
          <w:tcPr>
            <w:tcW w:type="dxa" w:w="5112"/>
          </w:tcPr>
          <w:p>
            <w:pPr>
              <w:spacing w:after="20" w:before="20"/>
            </w:pPr>
            <w:r/>
            <w:r>
              <w:rPr>
                <w:b w:val="0"/>
                <w:i w:val="0"/>
                <w:sz w:val="17"/>
              </w:rPr>
              <w:t>Safe-abstention rate</w:t>
            </w:r>
          </w:p>
        </w:tc>
        <w:tc>
          <w:tcPr>
            <w:tcW w:type="dxa" w:w="5112"/>
          </w:tcPr>
          <w:p>
            <w:pPr>
              <w:spacing w:after="20" w:before="20"/>
            </w:pPr>
            <w:r/>
            <w:r>
              <w:rPr>
                <w:b w:val="0"/>
                <w:i w:val="0"/>
                <w:sz w:val="17"/>
              </w:rPr>
              <w:t>Correct refusals as a share of opportunities to refuse</w:t>
            </w:r>
          </w:p>
        </w:tc>
      </w:tr>
      <w:tr>
        <w:tc>
          <w:tcPr>
            <w:tcW w:type="dxa" w:w="5112"/>
          </w:tcPr>
          <w:p>
            <w:pPr>
              <w:spacing w:after="20" w:before="20"/>
            </w:pPr>
            <w:r/>
            <w:r>
              <w:rPr>
                <w:b w:val="0"/>
                <w:i w:val="0"/>
                <w:sz w:val="17"/>
              </w:rPr>
              <w:t>Escalation accuracy</w:t>
            </w:r>
          </w:p>
        </w:tc>
        <w:tc>
          <w:tcPr>
            <w:tcW w:type="dxa" w:w="5112"/>
          </w:tcPr>
          <w:p>
            <w:pPr>
              <w:spacing w:after="20" w:before="20"/>
            </w:pPr>
            <w:r/>
            <w:r>
              <w:rPr>
                <w:b w:val="0"/>
                <w:i w:val="0"/>
                <w:sz w:val="17"/>
              </w:rPr>
              <w:t>Correct handover decisions</w:t>
            </w:r>
          </w:p>
        </w:tc>
      </w:tr>
      <w:tr>
        <w:tc>
          <w:tcPr>
            <w:tcW w:type="dxa" w:w="5112"/>
          </w:tcPr>
          <w:p>
            <w:pPr>
              <w:spacing w:after="20" w:before="20"/>
            </w:pPr>
            <w:r/>
            <w:r>
              <w:rPr>
                <w:b w:val="0"/>
                <w:i w:val="0"/>
                <w:sz w:val="17"/>
              </w:rPr>
              <w:t>Containment rate</w:t>
            </w:r>
          </w:p>
        </w:tc>
        <w:tc>
          <w:tcPr>
            <w:tcW w:type="dxa" w:w="5112"/>
          </w:tcPr>
          <w:p>
            <w:pPr>
              <w:spacing w:after="20" w:before="20"/>
            </w:pPr>
            <w:r/>
            <w:r>
              <w:rPr>
                <w:b w:val="0"/>
                <w:i w:val="0"/>
                <w:sz w:val="17"/>
              </w:rPr>
              <w:t>Interactions safely completed without transfer</w:t>
            </w:r>
          </w:p>
        </w:tc>
      </w:tr>
      <w:tr>
        <w:tc>
          <w:tcPr>
            <w:tcW w:type="dxa" w:w="5112"/>
          </w:tcPr>
          <w:p>
            <w:pPr>
              <w:spacing w:after="20" w:before="20"/>
            </w:pPr>
            <w:r/>
            <w:r>
              <w:rPr>
                <w:b w:val="0"/>
                <w:i w:val="0"/>
                <w:sz w:val="17"/>
              </w:rPr>
              <w:t>Response latency</w:t>
            </w:r>
          </w:p>
        </w:tc>
        <w:tc>
          <w:tcPr>
            <w:tcW w:type="dxa" w:w="5112"/>
          </w:tcPr>
          <w:p>
            <w:pPr>
              <w:spacing w:after="20" w:before="20"/>
            </w:pPr>
            <w:r/>
            <w:r>
              <w:rPr>
                <w:b w:val="0"/>
                <w:i w:val="0"/>
                <w:sz w:val="17"/>
              </w:rPr>
              <w:t>P50, P95 and P99 by channel</w:t>
            </w:r>
          </w:p>
        </w:tc>
      </w:tr>
      <w:tr>
        <w:tc>
          <w:tcPr>
            <w:tcW w:type="dxa" w:w="5112"/>
          </w:tcPr>
          <w:p>
            <w:pPr>
              <w:spacing w:after="20" w:before="20"/>
            </w:pPr>
            <w:r/>
            <w:r>
              <w:rPr>
                <w:b w:val="0"/>
                <w:i w:val="0"/>
                <w:sz w:val="17"/>
              </w:rPr>
              <w:t>Language accuracy</w:t>
            </w:r>
          </w:p>
        </w:tc>
        <w:tc>
          <w:tcPr>
            <w:tcW w:type="dxa" w:w="5112"/>
          </w:tcPr>
          <w:p>
            <w:pPr>
              <w:spacing w:after="20" w:before="20"/>
            </w:pPr>
            <w:r/>
            <w:r>
              <w:rPr>
                <w:b w:val="0"/>
                <w:i w:val="0"/>
                <w:sz w:val="17"/>
              </w:rPr>
              <w:t>Performance per language, not aggregate</w:t>
            </w:r>
          </w:p>
        </w:tc>
      </w:tr>
      <w:tr>
        <w:tc>
          <w:tcPr>
            <w:tcW w:type="dxa" w:w="5112"/>
          </w:tcPr>
          <w:p>
            <w:pPr>
              <w:spacing w:after="20" w:before="20"/>
            </w:pPr>
            <w:r/>
            <w:r>
              <w:rPr>
                <w:b w:val="0"/>
                <w:i w:val="0"/>
                <w:sz w:val="17"/>
              </w:rPr>
              <w:t>Disposition accuracy</w:t>
            </w:r>
          </w:p>
        </w:tc>
        <w:tc>
          <w:tcPr>
            <w:tcW w:type="dxa" w:w="5112"/>
          </w:tcPr>
          <w:p>
            <w:pPr>
              <w:spacing w:after="20" w:before="20"/>
            </w:pPr>
            <w:r/>
            <w:r>
              <w:rPr>
                <w:b w:val="0"/>
                <w:i w:val="0"/>
                <w:sz w:val="17"/>
              </w:rPr>
              <w:t>Correct outcome coding</w:t>
            </w:r>
          </w:p>
        </w:tc>
      </w:tr>
      <w:tr>
        <w:tc>
          <w:tcPr>
            <w:tcW w:type="dxa" w:w="5112"/>
          </w:tcPr>
          <w:p>
            <w:pPr>
              <w:spacing w:after="20" w:before="20"/>
            </w:pPr>
            <w:r/>
            <w:r>
              <w:rPr>
                <w:b w:val="0"/>
                <w:i w:val="0"/>
                <w:sz w:val="17"/>
              </w:rPr>
              <w:t>Follow-up completion</w:t>
            </w:r>
          </w:p>
        </w:tc>
        <w:tc>
          <w:tcPr>
            <w:tcW w:type="dxa" w:w="5112"/>
          </w:tcPr>
          <w:p>
            <w:pPr>
              <w:spacing w:after="20" w:before="20"/>
            </w:pPr>
            <w:r/>
            <w:r>
              <w:rPr>
                <w:b w:val="0"/>
                <w:i w:val="0"/>
                <w:sz w:val="17"/>
              </w:rPr>
              <w:t>Proactive tasks completed within TAT</w:t>
            </w:r>
          </w:p>
        </w:tc>
      </w:tr>
      <w:tr>
        <w:tc>
          <w:tcPr>
            <w:tcW w:type="dxa" w:w="5112"/>
          </w:tcPr>
          <w:p>
            <w:pPr>
              <w:spacing w:after="20" w:before="20"/>
            </w:pPr>
            <w:r/>
            <w:r>
              <w:rPr>
                <w:b w:val="0"/>
                <w:i w:val="0"/>
                <w:sz w:val="17"/>
              </w:rPr>
              <w:t>Feedback recovery</w:t>
            </w:r>
          </w:p>
        </w:tc>
        <w:tc>
          <w:tcPr>
            <w:tcW w:type="dxa" w:w="5112"/>
          </w:tcPr>
          <w:p>
            <w:pPr>
              <w:spacing w:after="20" w:before="20"/>
            </w:pPr>
            <w:r/>
            <w:r>
              <w:rPr>
                <w:b w:val="0"/>
                <w:i w:val="0"/>
                <w:sz w:val="17"/>
              </w:rPr>
              <w:t>Negative-feedback cases recovered and closed</w:t>
            </w:r>
          </w:p>
        </w:tc>
      </w:tr>
    </w:tbl>
    <w:p>
      <w:pPr>
        <w:spacing w:after="60"/>
      </w:pPr>
    </w:p>
    <w:p>
      <w:r>
        <w:rPr>
          <w:b w:val="0"/>
          <w:i w:val="0"/>
        </w:rPr>
        <w:t xml:space="preserve">Establishing a </w:t>
      </w:r>
      <w:r>
        <w:rPr>
          <w:b/>
          <w:i w:val="0"/>
        </w:rPr>
        <w:t>labelled evaluation set</w:t>
      </w:r>
      <w:r>
        <w:rPr>
          <w:b w:val="0"/>
          <w:i w:val="0"/>
        </w:rPr>
        <w:t xml:space="preserve"> with the client's own subject-matter experts is a defined early deliverable; the groundedness, hallucination and abstention measures depend on it. A feedback loop ingests CSAT, NPS and complaint signals, triggers a recovery workflow below an agreed threshold, and feeds quality findings back into knowledge and model improvement.</w:t>
      </w:r>
    </w:p>
    <w:p>
      <w:r>
        <w:rPr>
          <w:b w:val="0"/>
          <w:i w:val="0"/>
        </w:rPr>
        <w:t>Performance is expected to improve materially between early operation and steady state. The engagement therefore begins with tight monitoring and conservative automation thresholds, relaxing them as measured performance justifies it.</w:t>
      </w:r>
    </w:p>
    <w:p>
      <w:pPr>
        <w:spacing w:before="40" w:after="40"/>
        <w:pBdr>
          <w:bottom w:val="single" w:sz="6" w:color="BFBFBF"/>
        </w:pBdr>
      </w:pPr>
    </w:p>
    <w:p>
      <w:pPr>
        <w:pStyle w:val="Heading2"/>
        <w:keepNext/>
      </w:pPr>
      <w:r/>
      <w:r>
        <w:rPr>
          <w:b/>
          <w:i w:val="0"/>
        </w:rPr>
        <w:t>9. Regulatory and compliance</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Requirement</w:t>
            </w:r>
          </w:p>
        </w:tc>
        <w:tc>
          <w:tcPr>
            <w:tcW w:type="dxa" w:w="5112"/>
            <w:shd w:val="clear" w:color="auto" w:fill="DCE6F1"/>
          </w:tcPr>
          <w:p>
            <w:pPr>
              <w:spacing w:after="20" w:before="20"/>
            </w:pPr>
            <w:r/>
            <w:r>
              <w:rPr>
                <w:b/>
                <w:i w:val="0"/>
                <w:sz w:val="17"/>
              </w:rPr>
              <w:t>Production scope</w:t>
            </w:r>
          </w:p>
        </w:tc>
      </w:tr>
      <w:tr>
        <w:tc>
          <w:tcPr>
            <w:tcW w:type="dxa" w:w="5112"/>
          </w:tcPr>
          <w:p>
            <w:pPr>
              <w:spacing w:after="20" w:before="20"/>
            </w:pPr>
            <w:r/>
            <w:r>
              <w:rPr>
                <w:b w:val="0"/>
                <w:i w:val="0"/>
                <w:sz w:val="17"/>
              </w:rPr>
              <w:t>Grievance redressal</w:t>
            </w:r>
          </w:p>
        </w:tc>
        <w:tc>
          <w:tcPr>
            <w:tcW w:type="dxa" w:w="5112"/>
          </w:tcPr>
          <w:p>
            <w:pPr>
              <w:spacing w:after="20" w:before="20"/>
            </w:pPr>
            <w:r/>
            <w:r>
              <w:rPr>
                <w:b w:val="0"/>
                <w:i w:val="0"/>
                <w:sz w:val="17"/>
              </w:rPr>
              <w:t>Regulator-aligned categories, defined redressal timelines, Nodal and Principal Nodal Officer routing, Ombudsman escalation</w:t>
            </w:r>
          </w:p>
        </w:tc>
      </w:tr>
      <w:tr>
        <w:tc>
          <w:tcPr>
            <w:tcW w:type="dxa" w:w="5112"/>
          </w:tcPr>
          <w:p>
            <w:pPr>
              <w:spacing w:after="20" w:before="20"/>
            </w:pPr>
            <w:r/>
            <w:r>
              <w:rPr>
                <w:b w:val="0"/>
                <w:i w:val="0"/>
                <w:sz w:val="17"/>
              </w:rPr>
              <w:t>Financial advice</w:t>
            </w:r>
          </w:p>
        </w:tc>
        <w:tc>
          <w:tcPr>
            <w:tcW w:type="dxa" w:w="5112"/>
          </w:tcPr>
          <w:p>
            <w:pPr>
              <w:spacing w:after="20" w:before="20"/>
            </w:pPr>
            <w:r/>
            <w:r>
              <w:rPr>
                <w:b w:val="0"/>
                <w:i w:val="0"/>
                <w:sz w:val="17"/>
              </w:rPr>
              <w:t>Hard guardrail with abstention and routing to an authorised person</w:t>
            </w:r>
          </w:p>
        </w:tc>
      </w:tr>
      <w:tr>
        <w:tc>
          <w:tcPr>
            <w:tcW w:type="dxa" w:w="5112"/>
          </w:tcPr>
          <w:p>
            <w:pPr>
              <w:spacing w:after="20" w:before="20"/>
            </w:pPr>
            <w:r/>
            <w:r>
              <w:rPr>
                <w:b w:val="0"/>
                <w:i w:val="0"/>
                <w:sz w:val="17"/>
              </w:rPr>
              <w:t>Data protection</w:t>
            </w:r>
          </w:p>
        </w:tc>
        <w:tc>
          <w:tcPr>
            <w:tcW w:type="dxa" w:w="5112"/>
          </w:tcPr>
          <w:p>
            <w:pPr>
              <w:spacing w:after="20" w:before="20"/>
            </w:pPr>
            <w:r/>
            <w:r>
              <w:rPr>
                <w:b w:val="0"/>
                <w:i w:val="0"/>
                <w:sz w:val="17"/>
              </w:rPr>
              <w:t>Purpose-bound consent capture and enforcement under the DPDP Act</w:t>
            </w:r>
          </w:p>
        </w:tc>
      </w:tr>
      <w:tr>
        <w:tc>
          <w:tcPr>
            <w:tcW w:type="dxa" w:w="5112"/>
          </w:tcPr>
          <w:p>
            <w:pPr>
              <w:spacing w:after="20" w:before="20"/>
            </w:pPr>
            <w:r/>
            <w:r>
              <w:rPr>
                <w:b w:val="0"/>
                <w:i w:val="0"/>
                <w:sz w:val="17"/>
              </w:rPr>
              <w:t>Data residency</w:t>
            </w:r>
          </w:p>
        </w:tc>
        <w:tc>
          <w:tcPr>
            <w:tcW w:type="dxa" w:w="5112"/>
          </w:tcPr>
          <w:p>
            <w:pPr>
              <w:spacing w:after="20" w:before="20"/>
            </w:pPr>
            <w:r/>
            <w:r>
              <w:rPr>
                <w:b w:val="0"/>
                <w:i w:val="0"/>
                <w:sz w:val="17"/>
              </w:rPr>
              <w:t>Indian region deployment with localisation for payment data</w:t>
            </w:r>
          </w:p>
        </w:tc>
      </w:tr>
      <w:tr>
        <w:tc>
          <w:tcPr>
            <w:tcW w:type="dxa" w:w="5112"/>
          </w:tcPr>
          <w:p>
            <w:pPr>
              <w:spacing w:after="20" w:before="20"/>
            </w:pPr>
            <w:r/>
            <w:r>
              <w:rPr>
                <w:b w:val="0"/>
                <w:i w:val="0"/>
                <w:sz w:val="17"/>
              </w:rPr>
              <w:t>Retention and erasure</w:t>
            </w:r>
          </w:p>
        </w:tc>
        <w:tc>
          <w:tcPr>
            <w:tcW w:type="dxa" w:w="5112"/>
          </w:tcPr>
          <w:p>
            <w:pPr>
              <w:spacing w:after="20" w:before="20"/>
            </w:pPr>
            <w:r/>
            <w:r>
              <w:rPr>
                <w:b w:val="0"/>
                <w:i w:val="0"/>
                <w:sz w:val="17"/>
              </w:rPr>
              <w:t>Retention schedules reconciled against erasure rights and mandated financial record-keeping</w:t>
            </w:r>
          </w:p>
        </w:tc>
      </w:tr>
      <w:tr>
        <w:tc>
          <w:tcPr>
            <w:tcW w:type="dxa" w:w="5112"/>
          </w:tcPr>
          <w:p>
            <w:pPr>
              <w:spacing w:after="20" w:before="20"/>
            </w:pPr>
            <w:r/>
            <w:r>
              <w:rPr>
                <w:b w:val="0"/>
                <w:i w:val="0"/>
                <w:sz w:val="17"/>
              </w:rPr>
              <w:t>Audit</w:t>
            </w:r>
          </w:p>
        </w:tc>
        <w:tc>
          <w:tcPr>
            <w:tcW w:type="dxa" w:w="5112"/>
          </w:tcPr>
          <w:p>
            <w:pPr>
              <w:spacing w:after="20" w:before="20"/>
            </w:pPr>
            <w:r/>
            <w:r>
              <w:rPr>
                <w:b w:val="0"/>
                <w:i w:val="0"/>
                <w:sz w:val="17"/>
              </w:rPr>
              <w:t>Immutable record of customer-facing statements and the basis for each</w:t>
            </w:r>
          </w:p>
        </w:tc>
      </w:tr>
      <w:tr>
        <w:tc>
          <w:tcPr>
            <w:tcW w:type="dxa" w:w="5112"/>
          </w:tcPr>
          <w:p>
            <w:pPr>
              <w:spacing w:after="20" w:before="20"/>
            </w:pPr>
            <w:r/>
            <w:r>
              <w:rPr>
                <w:b w:val="0"/>
                <w:i w:val="0"/>
                <w:sz w:val="17"/>
              </w:rPr>
              <w:t>Contact governance</w:t>
            </w:r>
          </w:p>
        </w:tc>
        <w:tc>
          <w:tcPr>
            <w:tcW w:type="dxa" w:w="5112"/>
          </w:tcPr>
          <w:p>
            <w:pPr>
              <w:spacing w:after="20" w:before="20"/>
            </w:pPr>
            <w:r/>
            <w:r>
              <w:rPr>
                <w:b w:val="0"/>
                <w:i w:val="0"/>
                <w:sz w:val="17"/>
              </w:rPr>
              <w:t>Do-not-contact enforcement, permitted hours and frequency caps</w:t>
            </w:r>
          </w:p>
        </w:tc>
      </w:tr>
      <w:tr>
        <w:tc>
          <w:tcPr>
            <w:tcW w:type="dxa" w:w="5112"/>
          </w:tcPr>
          <w:p>
            <w:pPr>
              <w:spacing w:after="20" w:before="20"/>
            </w:pPr>
            <w:r/>
            <w:r>
              <w:rPr>
                <w:b w:val="0"/>
                <w:i w:val="0"/>
                <w:sz w:val="17"/>
              </w:rPr>
              <w:t>Call recording</w:t>
            </w:r>
          </w:p>
        </w:tc>
        <w:tc>
          <w:tcPr>
            <w:tcW w:type="dxa" w:w="5112"/>
          </w:tcPr>
          <w:p>
            <w:pPr>
              <w:spacing w:after="20" w:before="20"/>
            </w:pPr>
            <w:r/>
            <w:r>
              <w:rPr>
                <w:b w:val="0"/>
                <w:i w:val="0"/>
                <w:sz w:val="17"/>
              </w:rPr>
              <w:t>Recording, consent notification and mandated retention</w:t>
            </w:r>
          </w:p>
        </w:tc>
      </w:tr>
      <w:tr>
        <w:tc>
          <w:tcPr>
            <w:tcW w:type="dxa" w:w="5112"/>
          </w:tcPr>
          <w:p>
            <w:pPr>
              <w:spacing w:after="20" w:before="20"/>
            </w:pPr>
            <w:r/>
            <w:r>
              <w:rPr>
                <w:b w:val="0"/>
                <w:i w:val="0"/>
                <w:sz w:val="17"/>
              </w:rPr>
              <w:t>Fraud response</w:t>
            </w:r>
          </w:p>
        </w:tc>
        <w:tc>
          <w:tcPr>
            <w:tcW w:type="dxa" w:w="5112"/>
          </w:tcPr>
          <w:p>
            <w:pPr>
              <w:spacing w:after="20" w:before="20"/>
            </w:pPr>
            <w:r/>
            <w:r>
              <w:rPr>
                <w:b w:val="0"/>
                <w:i w:val="0"/>
                <w:sz w:val="17"/>
              </w:rPr>
              <w:t>Time-bound handling for suspected unauthorised transactions</w:t>
            </w:r>
          </w:p>
        </w:tc>
      </w:tr>
      <w:tr>
        <w:tc>
          <w:tcPr>
            <w:tcW w:type="dxa" w:w="5112"/>
          </w:tcPr>
          <w:p>
            <w:pPr>
              <w:spacing w:after="20" w:before="20"/>
            </w:pPr>
            <w:r/>
            <w:r>
              <w:rPr>
                <w:b w:val="0"/>
                <w:i w:val="0"/>
                <w:sz w:val="17"/>
              </w:rPr>
              <w:t>Explainability</w:t>
            </w:r>
          </w:p>
        </w:tc>
        <w:tc>
          <w:tcPr>
            <w:tcW w:type="dxa" w:w="5112"/>
          </w:tcPr>
          <w:p>
            <w:pPr>
              <w:spacing w:after="20" w:before="20"/>
            </w:pPr>
            <w:r/>
            <w:r>
              <w:rPr>
                <w:b w:val="0"/>
                <w:i w:val="0"/>
                <w:sz w:val="17"/>
              </w:rPr>
              <w:t>Every AI decision traceable to its evidence and inputs</w:t>
            </w:r>
          </w:p>
        </w:tc>
      </w:tr>
    </w:tbl>
    <w:p>
      <w:pPr>
        <w:spacing w:after="60"/>
      </w:pPr>
    </w:p>
    <w:p>
      <w:pPr>
        <w:spacing w:before="40" w:after="40"/>
        <w:pBdr>
          <w:bottom w:val="single" w:sz="6" w:color="BFBFBF"/>
        </w:pBdr>
      </w:pPr>
    </w:p>
    <w:p>
      <w:pPr>
        <w:pStyle w:val="Heading2"/>
        <w:keepNext/>
      </w:pPr>
      <w:r/>
      <w:r>
        <w:rPr>
          <w:b/>
          <w:i w:val="0"/>
        </w:rPr>
        <w:t>10. Multi-entity rollout</w:t>
      </w:r>
    </w:p>
    <w:p>
      <w:r>
        <w:rPr>
          <w:b w:val="0"/>
          <w:i w:val="0"/>
        </w:rPr>
        <w:t>Groups operating multiple entities, brands or business units - each with its own core system, telephony and customer base - are supported through a repeatable rollout pattern.</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Capability</w:t>
            </w:r>
          </w:p>
        </w:tc>
        <w:tc>
          <w:tcPr>
            <w:tcW w:type="dxa" w:w="5112"/>
            <w:shd w:val="clear" w:color="auto" w:fill="DCE6F1"/>
          </w:tcPr>
          <w:p>
            <w:pPr>
              <w:spacing w:after="20" w:before="20"/>
            </w:pPr>
            <w:r/>
            <w:r>
              <w:rPr>
                <w:b/>
                <w:i w:val="0"/>
                <w:sz w:val="17"/>
              </w:rPr>
              <w:t>Production scope</w:t>
            </w:r>
          </w:p>
        </w:tc>
      </w:tr>
      <w:tr>
        <w:tc>
          <w:tcPr>
            <w:tcW w:type="dxa" w:w="5112"/>
          </w:tcPr>
          <w:p>
            <w:pPr>
              <w:spacing w:after="20" w:before="20"/>
            </w:pPr>
            <w:r/>
            <w:r>
              <w:rPr>
                <w:b w:val="0"/>
                <w:i w:val="0"/>
                <w:sz w:val="17"/>
              </w:rPr>
              <w:t>Tenancy</w:t>
            </w:r>
          </w:p>
        </w:tc>
        <w:tc>
          <w:tcPr>
            <w:tcW w:type="dxa" w:w="5112"/>
          </w:tcPr>
          <w:p>
            <w:pPr>
              <w:spacing w:after="20" w:before="20"/>
            </w:pPr>
            <w:r/>
            <w:r>
              <w:rPr>
                <w:b w:val="0"/>
                <w:i w:val="0"/>
                <w:sz w:val="17"/>
              </w:rPr>
              <w:t>Isolation of data, knowledge, configuration and reporting per entity</w:t>
            </w:r>
          </w:p>
        </w:tc>
      </w:tr>
      <w:tr>
        <w:tc>
          <w:tcPr>
            <w:tcW w:type="dxa" w:w="5112"/>
          </w:tcPr>
          <w:p>
            <w:pPr>
              <w:spacing w:after="20" w:before="20"/>
            </w:pPr>
            <w:r/>
            <w:r>
              <w:rPr>
                <w:b w:val="0"/>
                <w:i w:val="0"/>
                <w:sz w:val="17"/>
              </w:rPr>
              <w:t>Configuration</w:t>
            </w:r>
          </w:p>
        </w:tc>
        <w:tc>
          <w:tcPr>
            <w:tcW w:type="dxa" w:w="5112"/>
          </w:tcPr>
          <w:p>
            <w:pPr>
              <w:spacing w:after="20" w:before="20"/>
            </w:pPr>
            <w:r/>
            <w:r>
              <w:rPr>
                <w:b w:val="0"/>
                <w:i w:val="0"/>
                <w:sz w:val="17"/>
              </w:rPr>
              <w:t>Per-entity rules, escalation matrices, templates and thresholds</w:t>
            </w:r>
          </w:p>
        </w:tc>
      </w:tr>
      <w:tr>
        <w:tc>
          <w:tcPr>
            <w:tcW w:type="dxa" w:w="5112"/>
          </w:tcPr>
          <w:p>
            <w:pPr>
              <w:spacing w:after="20" w:before="20"/>
            </w:pPr>
            <w:r/>
            <w:r>
              <w:rPr>
                <w:b w:val="0"/>
                <w:i w:val="0"/>
                <w:sz w:val="17"/>
              </w:rPr>
              <w:t>Knowledge scoping</w:t>
            </w:r>
          </w:p>
        </w:tc>
        <w:tc>
          <w:tcPr>
            <w:tcW w:type="dxa" w:w="5112"/>
          </w:tcPr>
          <w:p>
            <w:pPr>
              <w:spacing w:after="20" w:before="20"/>
            </w:pPr>
            <w:r/>
            <w:r>
              <w:rPr>
                <w:b w:val="0"/>
                <w:i w:val="0"/>
                <w:sz w:val="17"/>
              </w:rPr>
              <w:t>Knowledge bases scoped by entity, product and language</w:t>
            </w:r>
          </w:p>
        </w:tc>
      </w:tr>
      <w:tr>
        <w:tc>
          <w:tcPr>
            <w:tcW w:type="dxa" w:w="5112"/>
          </w:tcPr>
          <w:p>
            <w:pPr>
              <w:spacing w:after="20" w:before="20"/>
            </w:pPr>
            <w:r/>
            <w:r>
              <w:rPr>
                <w:b w:val="0"/>
                <w:i w:val="0"/>
                <w:sz w:val="17"/>
              </w:rPr>
              <w:t>Onboarding</w:t>
            </w:r>
          </w:p>
        </w:tc>
        <w:tc>
          <w:tcPr>
            <w:tcW w:type="dxa" w:w="5112"/>
          </w:tcPr>
          <w:p>
            <w:pPr>
              <w:spacing w:after="20" w:before="20"/>
            </w:pPr>
            <w:r/>
            <w:r>
              <w:rPr>
                <w:b w:val="0"/>
                <w:i w:val="0"/>
                <w:sz w:val="17"/>
              </w:rPr>
              <w:t>Repeatable sequence: integrate core systems, load and approve knowledge, configure routing, evaluate against agreed targets, go live</w:t>
            </w:r>
          </w:p>
        </w:tc>
      </w:tr>
    </w:tbl>
    <w:p>
      <w:pPr>
        <w:spacing w:after="60"/>
      </w:pPr>
    </w:p>
    <w:p>
      <w:r>
        <w:rPr>
          <w:b w:val="0"/>
          <w:i w:val="0"/>
        </w:rPr>
        <w:t>The recommended approach is to prove the platform end-to-end at one flagship entity, then replicate. Each subsequent rollout reuses the integration patterns, knowledge structure and evaluation framework established in the first.</w:t>
      </w:r>
    </w:p>
    <w:p>
      <w:pPr>
        <w:spacing w:before="40" w:after="40"/>
        <w:pBdr>
          <w:bottom w:val="single" w:sz="6" w:color="BFBFBF"/>
        </w:pBdr>
      </w:pPr>
    </w:p>
    <w:p>
      <w:pPr>
        <w:pStyle w:val="Heading2"/>
        <w:keepNext/>
      </w:pPr>
      <w:r/>
      <w:r>
        <w:rPr>
          <w:b/>
          <w:i w:val="0"/>
        </w:rPr>
        <w:t>11. Delivery approach</w:t>
      </w:r>
    </w:p>
    <w:tbl>
      <w:tblPr>
        <w:tblStyle w:val="TableGrid"/>
        <w:tblW w:type="auto" w:w="0"/>
        <w:jc w:val="left"/>
        <w:tblLayout w:type="autofit"/>
        <w:tblLook w:firstColumn="1" w:firstRow="1" w:lastColumn="0" w:lastRow="0" w:noHBand="0" w:noVBand="1" w:val="04A0"/>
      </w:tblPr>
      <w:tblGrid>
        <w:gridCol w:w="5112"/>
        <w:gridCol w:w="5112"/>
      </w:tblGrid>
      <w:tr>
        <w:tc>
          <w:tcPr>
            <w:tcW w:type="dxa" w:w="5112"/>
            <w:shd w:val="clear" w:color="auto" w:fill="DCE6F1"/>
          </w:tcPr>
          <w:p>
            <w:pPr>
              <w:spacing w:after="20" w:before="20"/>
            </w:pPr>
            <w:r/>
            <w:r>
              <w:rPr>
                <w:b/>
                <w:i w:val="0"/>
                <w:sz w:val="17"/>
              </w:rPr>
              <w:t>Phase</w:t>
            </w:r>
          </w:p>
        </w:tc>
        <w:tc>
          <w:tcPr>
            <w:tcW w:type="dxa" w:w="5112"/>
            <w:shd w:val="clear" w:color="auto" w:fill="DCE6F1"/>
          </w:tcPr>
          <w:p>
            <w:pPr>
              <w:spacing w:after="20" w:before="20"/>
            </w:pPr>
            <w:r/>
            <w:r>
              <w:rPr>
                <w:b/>
                <w:i w:val="0"/>
                <w:sz w:val="17"/>
              </w:rPr>
              <w:t>Scope</w:t>
            </w:r>
          </w:p>
        </w:tc>
      </w:tr>
      <w:tr>
        <w:tc>
          <w:tcPr>
            <w:tcW w:type="dxa" w:w="5112"/>
          </w:tcPr>
          <w:p>
            <w:pPr>
              <w:spacing w:after="20" w:before="20"/>
            </w:pPr>
            <w:r/>
            <w:r>
              <w:rPr>
                <w:b/>
                <w:i w:val="0"/>
                <w:sz w:val="17"/>
              </w:rPr>
              <w:t>1. Foundation</w:t>
            </w:r>
          </w:p>
        </w:tc>
        <w:tc>
          <w:tcPr>
            <w:tcW w:type="dxa" w:w="5112"/>
          </w:tcPr>
          <w:p>
            <w:pPr>
              <w:spacing w:after="20" w:before="20"/>
            </w:pPr>
            <w:r/>
            <w:r>
              <w:rPr>
                <w:b w:val="0"/>
                <w:i w:val="0"/>
                <w:sz w:val="17"/>
              </w:rPr>
              <w:t>AWS landing zone, infrastructure as code and CI/CD; core system integrations; production data stores; observability and alerting</w:t>
            </w:r>
          </w:p>
        </w:tc>
      </w:tr>
      <w:tr>
        <w:tc>
          <w:tcPr>
            <w:tcW w:type="dxa" w:w="5112"/>
          </w:tcPr>
          <w:p>
            <w:pPr>
              <w:spacing w:after="20" w:before="20"/>
            </w:pPr>
            <w:r/>
            <w:r>
              <w:rPr>
                <w:b/>
                <w:i w:val="0"/>
                <w:sz w:val="17"/>
              </w:rPr>
              <w:t>2. Compliance baseline</w:t>
            </w:r>
          </w:p>
        </w:tc>
        <w:tc>
          <w:tcPr>
            <w:tcW w:type="dxa" w:w="5112"/>
          </w:tcPr>
          <w:p>
            <w:pPr>
              <w:spacing w:after="20" w:before="20"/>
            </w:pPr>
            <w:r/>
            <w:r>
              <w:rPr>
                <w:b w:val="0"/>
                <w:i w:val="0"/>
                <w:sz w:val="17"/>
              </w:rPr>
              <w:t>Grievance framework with named ownership and timelines; knowledge governance with approval, versioning and expiry; consent and contact governance; step-up authentication; disposition taxonomy</w:t>
            </w:r>
          </w:p>
        </w:tc>
      </w:tr>
      <w:tr>
        <w:tc>
          <w:tcPr>
            <w:tcW w:type="dxa" w:w="5112"/>
          </w:tcPr>
          <w:p>
            <w:pPr>
              <w:spacing w:after="20" w:before="20"/>
            </w:pPr>
            <w:r/>
            <w:r>
              <w:rPr>
                <w:b/>
                <w:i w:val="0"/>
                <w:sz w:val="17"/>
              </w:rPr>
              <w:t>3. Capability build</w:t>
            </w:r>
          </w:p>
        </w:tc>
        <w:tc>
          <w:tcPr>
            <w:tcW w:type="dxa" w:w="5112"/>
          </w:tcPr>
          <w:p>
            <w:pPr>
              <w:spacing w:after="20" w:before="20"/>
            </w:pPr>
            <w:r/>
            <w:r>
              <w:rPr>
                <w:b w:val="0"/>
                <w:i w:val="0"/>
                <w:sz w:val="17"/>
              </w:rPr>
              <w:t>Voice channel; service actions with maker-checker authorisation; proactive engagement; evaluation framework and labelled evaluation set</w:t>
            </w:r>
          </w:p>
        </w:tc>
      </w:tr>
      <w:tr>
        <w:tc>
          <w:tcPr>
            <w:tcW w:type="dxa" w:w="5112"/>
          </w:tcPr>
          <w:p>
            <w:pPr>
              <w:spacing w:after="20" w:before="20"/>
            </w:pPr>
            <w:r/>
            <w:r>
              <w:rPr>
                <w:b/>
                <w:i w:val="0"/>
                <w:sz w:val="17"/>
              </w:rPr>
              <w:t>4. Scale</w:t>
            </w:r>
          </w:p>
        </w:tc>
        <w:tc>
          <w:tcPr>
            <w:tcW w:type="dxa" w:w="5112"/>
          </w:tcPr>
          <w:p>
            <w:pPr>
              <w:spacing w:after="20" w:before="20"/>
            </w:pPr>
            <w:r/>
            <w:r>
              <w:rPr>
                <w:b w:val="0"/>
                <w:i w:val="0"/>
                <w:sz w:val="17"/>
              </w:rPr>
              <w:t>Additional entities; analytics and reporting; performance testing and capacity validation</w:t>
            </w:r>
          </w:p>
        </w:tc>
      </w:tr>
    </w:tbl>
    <w:p>
      <w:pPr>
        <w:spacing w:after="60"/>
      </w:pPr>
    </w:p>
    <w:p>
      <w:r>
        <w:rPr>
          <w:b w:val="0"/>
          <w:i w:val="0"/>
        </w:rPr>
        <w:t>Effort and duration are established during discovery, and depend on the client's core system access, telephony landscape and cloud maturity.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C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