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ødtekst"/>
      </w:pPr>
      <w:bookmarkStart w:name="fællesoffentligreferencearkitekturfor" w:id="0"/>
      <w:bookmarkEnd w:id="0"/>
      <w:r>
        <w:rPr>
          <w:rtl w:val="0"/>
          <w:lang w:val="da-DK"/>
        </w:rPr>
        <w:t>O</w:t>
      </w:r>
      <w:r>
        <w:rPr>
          <w:rtl w:val="0"/>
          <w:lang w:val="da-DK"/>
        </w:rPr>
        <w:t>prydning:</w:t>
      </w:r>
    </w:p>
    <w:p>
      <w:pPr>
        <w:pStyle w:val="Brødtekst"/>
      </w:pPr>
      <w:r>
        <w:rPr>
          <w:rtl w:val="0"/>
          <w:lang w:val="da-DK"/>
        </w:rPr>
        <w:t>Tite</w:t>
      </w:r>
    </w:p>
    <w:p>
      <w:pPr>
        <w:pStyle w:val="Brødtekst"/>
      </w:pPr>
      <w:r>
        <w:rPr>
          <w:rtl w:val="0"/>
          <w:lang w:val="da-DK"/>
        </w:rPr>
        <w:t xml:space="preserve">Nummerering af headers (Multi-level list </w:t>
      </w:r>
      <w:r>
        <w:rPr>
          <w:rtl w:val="0"/>
          <w:lang w:val="da-DK"/>
        </w:rPr>
        <w:t xml:space="preserve">– </w:t>
      </w:r>
      <w:r>
        <w:rPr>
          <w:rtl w:val="0"/>
          <w:lang w:val="da-DK"/>
        </w:rPr>
        <w:t>headers baseret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rmeste Heading; )</w:t>
      </w:r>
    </w:p>
    <w:p>
      <w:pPr>
        <w:pStyle w:val="Brødtekst"/>
      </w:pPr>
      <w:r>
        <w:rPr>
          <w:rtl w:val="0"/>
          <w:lang w:val="da-DK"/>
        </w:rPr>
        <w:t>Sletning/tilpasning af gule passager</w:t>
      </w:r>
    </w:p>
    <w:p>
      <w:pPr>
        <w:pStyle w:val="Title"/>
        <w:rPr>
          <w:lang w:val="da-DK"/>
        </w:rPr>
      </w:pPr>
      <w:r>
        <w:rPr>
          <w:rtl w:val="0"/>
          <w:lang w:val="da-DK"/>
        </w:rPr>
        <w:t>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llesoffentlig referencearkitektur for deling af data og dokumenter</w:t>
      </w:r>
    </w:p>
    <w:p>
      <w:pPr>
        <w:pStyle w:val="First Paragraph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Versionsoversigt:</w:t>
      </w:r>
    </w:p>
    <w:p>
      <w:pPr>
        <w:pStyle w:val="Body Text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Version 0.1, september 2017. Arbejdsdokument, der bygger oven p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 xml:space="preserve">å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en tidligere udarbejdet Synopsis for Referencearkitektur for deling af data og dokumenter (august 2017). Benyttet i workshop med arkitektarbejdsgruppen under SDA.</w:t>
      </w:r>
    </w:p>
    <w:p>
      <w:pPr>
        <w:pStyle w:val="Body Text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Version 0.2, oktober 2017. Arbejdsdokument benyttet i forbindelse med anden workshop med arkitektarbejdsgruppen under SDA.</w:t>
      </w:r>
    </w:p>
    <w:p>
      <w:pPr>
        <w:pStyle w:val="Overskrift"/>
        <w:numPr>
          <w:ilvl w:val="0"/>
          <w:numId w:val="2"/>
        </w:numPr>
      </w:pPr>
      <w:bookmarkStart w:name="resume" w:id="1"/>
      <w:bookmarkEnd w:id="1"/>
      <w:r>
        <w:rPr>
          <w:rtl w:val="0"/>
          <w:lang w:val="da-DK"/>
        </w:rPr>
        <w:t>R</w:t>
      </w:r>
      <w:r>
        <w:rPr>
          <w:rtl w:val="0"/>
          <w:lang w:val="da-DK"/>
        </w:rPr>
        <w:t>esume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Hverdagen er digital, og data om borgere, virksomheder, myndigheder, ejendomme, steder, k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jer o.m.m. vedligeholdes i en lang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 omr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der af den offentlige administration. Der ligger et stort potentiale i at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danne data tilg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ngelige for genbrug,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 kan skabe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 i andre sammenh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 end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 med det oprindelige register. Dette kan danne fundament for langt bedre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ttelse af tv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ende, offentlige services, og 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bner tillige for anvendelse af data i nye og innovative sammenh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Men deling af data kan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teknisk kompliceret og i mange tilf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lde omkostningstungt, bl.a. drevet af krav til sikkerhed og dermed bevarelse af borgeres og virksomheders tillid til datadeling i det offentlige Danmark. Derfor er potentialet i deling og genbrug af data i 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 grad forblevet uindfriet.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Denne referencearkitekturs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 er at hj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lpe med at indfri dette potentiale. Dette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res ved at introducere en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beskrivelse af de begreber og sammenh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nge, der er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sentlige for at forst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og arbejde med design og implementering af 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sninger, der involverer deling af data og dokumenter. Dette sker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det strategiske plan, hvor vision,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 og arkitektoniske principper fastl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gges;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det forretningsm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ssige plan, hvor de typiske brugsscenarier beskrives; og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det tekniske plan, hvor en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 implementeringsm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 angiver, hvordan man i og mellem applikationer kan dele og forsende data.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Referencearkitekturen er udarbejdet under den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llesoffentlige digitaliseringsstrategi 2016-2020 og er som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dan relevant for alle offentlige myndigheder og deres leverand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rer samt for virksomheder, 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nsker at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brug af offentlige data.</w:t>
      </w:r>
    </w:p>
    <w:p>
      <w:pPr>
        <w:pStyle w:val="Overskrift"/>
        <w:numPr>
          <w:ilvl w:val="0"/>
          <w:numId w:val="2"/>
        </w:numPr>
      </w:pPr>
      <w:bookmarkStart w:name="introduktion" w:id="2"/>
      <w:bookmarkEnd w:id="2"/>
      <w:r>
        <w:rPr>
          <w:rtl w:val="0"/>
          <w:lang w:val="da-DK"/>
        </w:rPr>
        <w:t>I</w:t>
      </w:r>
      <w:r>
        <w:rPr>
          <w:rtl w:val="0"/>
          <w:lang w:val="da-DK"/>
        </w:rPr>
        <w:t>ntroduktion</w:t>
      </w:r>
    </w:p>
    <w:p>
      <w:pPr>
        <w:pStyle w:val="Overskrift 2"/>
        <w:numPr>
          <w:ilvl w:val="1"/>
          <w:numId w:val="2"/>
        </w:numPr>
      </w:pPr>
      <w:bookmarkStart w:name="formålogmålgruppe" w:id="3"/>
      <w:bookmarkEnd w:id="3"/>
      <w:r>
        <w:rPr>
          <w:rtl w:val="0"/>
          <w:lang w:val="da-DK"/>
        </w:rPr>
        <w:t>F</w:t>
      </w:r>
      <w:r>
        <w:rPr>
          <w:rtl w:val="0"/>
          <w:lang w:val="da-DK"/>
        </w:rPr>
        <w:t>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 og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lgruppe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Referencearkitekturen for deling af data og dokumenter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tter design, udvikling og anvendelse af offentlige it-systemer, der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(gen)anvender oplysninger i form af data og dokumenter til sagsbehandling eller selvbetjening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sender eller modtager meddelelser fra andre it-systemer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Dokumentet er prim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rt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lrettet it-arkitekter tilknyttet offentlige digitaliseringsprojekter, herunder enterprise-arkitekter, forretningsarkitekter og 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sningsarkitekter, der har til opgave at kravspecificere og designe 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sninger.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De 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rste dele af dokumentet (Strategisk og Forretningsm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 arkitektur) henvender sig endvidere til projektledere og beslutningstagere, herunder forretningsansvarlige, digitaliseringschefer, it-chefer, afdelings- og kontorchefer og andre med rollen som systemejer.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Dokumentet i sin helhed er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relevant for leverand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 at orientere sig i.</w:t>
      </w:r>
    </w:p>
    <w:p>
      <w:pPr>
        <w:pStyle w:val="Overskrift 2"/>
        <w:numPr>
          <w:ilvl w:val="1"/>
          <w:numId w:val="5"/>
        </w:numPr>
      </w:pPr>
      <w:bookmarkStart w:name="scope" w:id="4"/>
      <w:bookmarkEnd w:id="4"/>
      <w:r>
        <w:rPr>
          <w:rtl w:val="0"/>
          <w:lang w:val="da-DK"/>
        </w:rPr>
        <w:t>S</w:t>
      </w:r>
      <w:r>
        <w:rPr>
          <w:rtl w:val="0"/>
          <w:lang w:val="da-DK"/>
        </w:rPr>
        <w:t>cope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Referencearkitekturen beskriver anvendelse af og udvikling af it-systemer, der reguleres af blandt andet:</w:t>
        <w:br w:type="textWrapping"/>
      </w:r>
      <w:commentRangeStart w:id="5"/>
    </w:p>
    <w:p>
      <w:pPr>
        <w:pStyle w:val="Definition Term"/>
        <w:numPr>
          <w:ilvl w:val="0"/>
          <w:numId w:val="4"/>
        </w:numPr>
        <w:bidi w:val="0"/>
        <w:ind w:right="0"/>
        <w:jc w:val="left"/>
        <w:rPr>
          <w:shd w:val="clear" w:color="auto" w:fill="ffff00"/>
          <w:rtl w:val="0"/>
          <w:lang w:val="en-US"/>
        </w:rPr>
      </w:pPr>
      <w:r>
        <w:rPr>
          <w:shd w:val="clear" w:color="auto" w:fill="ffff00"/>
          <w:rtl w:val="0"/>
          <w:lang w:val="en-US"/>
        </w:rPr>
        <w:t>EU databeskyttelse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shd w:val="clear" w:color="auto" w:fill="ffff00"/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lov</w:t>
      </w:r>
      <w:r>
        <w:rPr>
          <w:shd w:val="clear" w:color="auto" w:fill="ffff00"/>
          <w:rtl w:val="0"/>
          <w:lang w:val="da-DK"/>
        </w:rPr>
        <w:t xml:space="preserve"> som beskriver pligter og rettigheder ved behandling af persondata</w:t>
      </w:r>
      <w:commentRangeEnd w:id="5"/>
      <w:r>
        <w:commentReference w:id="5"/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EU eIDAS</w:t>
      </w:r>
    </w:p>
    <w:p>
      <w:pPr>
        <w:pStyle w:val="Definition"/>
        <w:numPr>
          <w:ilvl w:val="0"/>
          <w:numId w:val="4"/>
        </w:numPr>
        <w:rPr>
          <w:lang w:val="en-US"/>
        </w:rPr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lov</w:t>
      </w:r>
      <w:r>
        <w:rPr>
          <w:rtl w:val="0"/>
          <w:lang w:val="en-US"/>
        </w:rPr>
        <w:t xml:space="preserve"> som definerer registrede tillidstjenester</w:t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Persondata lov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lov</w:t>
      </w:r>
      <w:r>
        <w:rPr>
          <w:rtl w:val="0"/>
          <w:lang w:val="da-DK"/>
        </w:rPr>
        <w:t xml:space="preserve"> som beskriver pligter og rettigheder ved behandling af persondata</w:t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Lov om Digital Post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lov</w:t>
      </w:r>
      <w:r>
        <w:rPr>
          <w:rtl w:val="0"/>
          <w:lang w:val="da-DK"/>
        </w:rPr>
        <w:t xml:space="preserve"> der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det obligatorisk for virksomheder og borgere at modtage digitale meddelelser fra offentlige afsendere.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Referencearkitekturen skrives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baggrund af den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llesoffentlige digitaliseringsstrategi 2020 under initiativ 8.1 med tilslutning fra FM, UFM, EVM, SIM, JM, EFKM, MBUL,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M, SKM, MFVM, BM, KL og Danske Regioner. Heri beskrives referencearkitekturen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ledes:</w:t>
      </w:r>
    </w:p>
    <w:p>
      <w:pPr>
        <w:pStyle w:val="Block Text"/>
        <w:rPr>
          <w:lang w:val="da-DK"/>
        </w:rPr>
      </w:pPr>
      <w:r>
        <w:rPr>
          <w:rtl w:val="0"/>
          <w:lang w:val="da-DK"/>
        </w:rPr>
        <w:t>For at operationalisere, hvilke krav hvidbogen konkret stiller til initiativer og systemer udarbejdes en referencearkitektur for deling af data og dokumenter, der blandt andet beskriver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behovsm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 og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 for teknisk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ttelse, herunder de forskelige roller, der skal afklares i initiativerne. Referencearkitekturen udpeger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eventuelle omr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der for eksisterende og nye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standarder og infrastruktur, som skal lette initiativernes implementering. Referencearkitekturen bliver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ledes en generel ramme og 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 for alle initiativernes egen specifikke arkitektur.</w:t>
      </w:r>
    </w:p>
    <w:p>
      <w:pPr>
        <w:pStyle w:val="First Paragraph"/>
      </w:pPr>
      <w:r>
        <w:rPr>
          <w:rtl w:val="0"/>
        </w:rPr>
        <w:t>Uden for scope: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å</w:t>
      </w:r>
      <w:r>
        <w:rPr>
          <w:rtl w:val="0"/>
          <w:lang w:val="da-DK"/>
        </w:rPr>
        <w:t>bne data, der ikke kr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ver adgangskontrol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registrering og anvendelse af data hos registerejer</w:t>
      </w:r>
    </w:p>
    <w:p>
      <w:pPr>
        <w:pStyle w:val="Overskrift 2"/>
        <w:numPr>
          <w:ilvl w:val="1"/>
          <w:numId w:val="6"/>
        </w:numPr>
      </w:pPr>
      <w:bookmarkStart w:name="centralebegreber" w:id="6"/>
      <w:bookmarkEnd w:id="6"/>
      <w:r>
        <w:rPr>
          <w:rtl w:val="0"/>
          <w:lang w:val="da-DK"/>
        </w:rPr>
        <w:t>C</w:t>
      </w:r>
      <w:r>
        <w:rPr>
          <w:rtl w:val="0"/>
          <w:lang w:val="da-DK"/>
        </w:rPr>
        <w:t>entrale begreber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I det efterf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lgende vil begrebet data blive brugt til at betegne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oplysninger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dokumentform og oplysninger der optr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der i registre. Vi anvender begrebet datasamling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om et register og et repository med dokumenter.</w:t>
      </w:r>
    </w:p>
    <w:p>
      <w:pPr>
        <w:pStyle w:val="Figure with Caption"/>
      </w:pPr>
      <w:r>
        <w:drawing>
          <wp:inline distT="0" distB="0" distL="0" distR="0">
            <wp:extent cx="4254500" cy="2298700"/>
            <wp:effectExtent l="0" t="0" r="0" b="0"/>
            <wp:docPr id="1073741825" name="officeArt object" descr="Anvendelse af begrebet data og relaterede begreber i denne referencearkitekt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nvendelse af begrebet data og relaterede begreber i denne referencearkitektur" descr="Anvendelse af begrebet data og relaterede begreber i denne referencearkitektur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29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Anvendelse af begrebet data og relaterede begreber i denne referencearkitektur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 xml:space="preserve">Vi vil endvidere lave en skelnen mellem: </w:t>
      </w:r>
      <w:r>
        <w:rPr>
          <w:shd w:val="clear" w:color="auto" w:fill="ffff00"/>
          <w:rtl w:val="0"/>
          <w:lang w:val="da-DK"/>
        </w:rPr>
        <w:t>- Anvendelse af udstillede data - typisk via API i system-til-system-integrationer - Forsendels</w:t>
      </w:r>
      <w:r>
        <w:rPr>
          <w:rtl w:val="0"/>
          <w:lang w:val="da-DK"/>
        </w:rPr>
        <w:t>e af meddelelser indeholdende data (herunder dokumenter) - typisk brugt ved beskeder til borgere/virksomheder, der skal have retsvirkning, men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et klassisk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brugt i system-til-system-integrationer.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Den fundamentale forskel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disse to scenarier er, om det er afsenderen eller modtageren af data, der kender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 med interaktionen. Ved udstiling af data er dataafsenderen som udgangspunkt ikke bekendt med datamodtagerens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 (men er naturligvis forpligtet til at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 relevant hjemmel). Ved forsendelse af meddelelser er det dataafsenderen, der i en given kontekst afsender en meddelelse med et givent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 - typisk som led i en proces.</w:t>
      </w:r>
    </w:p>
    <w:p>
      <w:pPr>
        <w:pStyle w:val="Overskrift 2"/>
        <w:numPr>
          <w:ilvl w:val="1"/>
          <w:numId w:val="2"/>
        </w:numPr>
      </w:pPr>
      <w:bookmarkStart w:name="anvendelse" w:id="7"/>
      <w:bookmarkEnd w:id="7"/>
      <w:r>
        <w:rPr>
          <w:rtl w:val="0"/>
        </w:rPr>
        <w:t>A</w:t>
      </w:r>
      <w:r>
        <w:rPr>
          <w:rtl w:val="0"/>
        </w:rPr>
        <w:t>nvendelse</w:t>
      </w:r>
    </w:p>
    <w:p>
      <w:pPr>
        <w:pStyle w:val="First Paragraph"/>
      </w:pPr>
      <w:r>
        <w:rPr>
          <w:rtl w:val="0"/>
        </w:rPr>
        <w:t>Referencearkitekturen skal: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danne et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sprog til at formulere en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handlingsplan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bruges som reference ved l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sningsbeskrivelser</w:t>
      </w:r>
    </w:p>
    <w:p>
      <w:pPr>
        <w:pStyle w:val="Overskrift 2"/>
        <w:numPr>
          <w:ilvl w:val="1"/>
          <w:numId w:val="7"/>
        </w:numPr>
      </w:pPr>
      <w:bookmarkStart w:name="tilblivelseoggovernance" w:id="8"/>
      <w:bookmarkEnd w:id="8"/>
      <w:r>
        <w:rPr>
          <w:rtl w:val="0"/>
        </w:rPr>
        <w:t>T</w:t>
      </w:r>
      <w:r>
        <w:rPr>
          <w:rtl w:val="0"/>
          <w:lang w:val="da-DK"/>
        </w:rPr>
        <w:t>ilblivelse og governance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rste udgave er skrevet hos Kontor for Data og Arkitektur af Mads Hjorth, Digitaliseringsstyrelsen og Anders Fausb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ll, Omnium Improvement.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Endelig godkendelse forventes hos Styregruppe for Data og Arkitektur under Digitaliseringsstrategien 18. december 2017.</w:t>
      </w:r>
    </w:p>
    <w:p>
      <w:pPr>
        <w:pStyle w:val="Overskrift 2"/>
        <w:numPr>
          <w:ilvl w:val="1"/>
          <w:numId w:val="2"/>
        </w:numPr>
      </w:pPr>
      <w:bookmarkStart w:name="metoderamme" w:id="9"/>
      <w:bookmarkEnd w:id="9"/>
      <w:r>
        <w:rPr>
          <w:rtl w:val="0"/>
          <w:lang w:val="da-DK"/>
        </w:rPr>
        <w:t>M</w:t>
      </w:r>
      <w:r>
        <w:rPr>
          <w:rtl w:val="0"/>
          <w:lang w:val="da-DK"/>
        </w:rPr>
        <w:t>etoderamme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Referencearkitekturen er udarbejdet inden for rammerne af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llesoffentlig Digital Arkitektur og 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lger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vidt muligt den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skabelon for referencearkitekturer som udarbejdet i DIGST/KDA. Metoderammen bygger blandt andet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erfaringer fra OIO referencearkitektur, og indarbejder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elementer fra EIRA, TOGAF, ArchiMate m.m.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rlige elementer er i dokumentet angivet i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kursiv</w:t>
      </w:r>
      <w:r>
        <w:rPr>
          <w:rtl w:val="0"/>
          <w:lang w:val="da-DK"/>
        </w:rPr>
        <w:t xml:space="preserve"> (fx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lov</w:t>
      </w:r>
      <w:r>
        <w:rPr>
          <w:rtl w:val="0"/>
          <w:lang w:val="da-DK"/>
        </w:rPr>
        <w:t xml:space="preserve">,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m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å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l</w:t>
      </w:r>
      <w:r>
        <w:rPr>
          <w:rtl w:val="0"/>
          <w:lang w:val="da-DK"/>
        </w:rPr>
        <w:t xml:space="preserve">,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rolle</w:t>
      </w:r>
      <w:r>
        <w:rPr>
          <w:rtl w:val="0"/>
          <w:lang w:val="da-DK"/>
        </w:rPr>
        <w:t xml:space="preserve"> m.m.). Dette markerer, at de 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 til Archimate-begrebsapparatet.</w:t>
      </w:r>
    </w:p>
    <w:p>
      <w:pPr>
        <w:pStyle w:val="Overskrift 2"/>
        <w:numPr>
          <w:ilvl w:val="1"/>
          <w:numId w:val="2"/>
        </w:numPr>
      </w:pPr>
      <w:bookmarkStart w:name="relationtilandrereferencearkitekturer" w:id="10"/>
      <w:bookmarkEnd w:id="10"/>
      <w:r>
        <w:rPr>
          <w:rtl w:val="0"/>
          <w:lang w:val="da-DK"/>
        </w:rPr>
        <w:t>R</w:t>
      </w:r>
      <w:r>
        <w:rPr>
          <w:rtl w:val="0"/>
          <w:lang w:val="da-DK"/>
        </w:rPr>
        <w:t>elation til andre referencearkitekturer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Denne referencearkitektur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brug af: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llesoffentlig referencearkitektur for brugerstyring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Den skal kunne anvendes af: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llesoffentlig referencearkitektur for selvbetjening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llesoffentlig referencearkitektur for overblik over egne sager og ydelser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... og skal anvendes i kontekst sammen med: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Deling af dokumenter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sundhedsomr</w:t>
      </w:r>
      <w:r>
        <w:rPr>
          <w:rtl w:val="0"/>
          <w:lang w:val="en-US"/>
        </w:rPr>
        <w:t>å</w:t>
      </w:r>
      <w:r>
        <w:rPr>
          <w:rtl w:val="0"/>
          <w:lang w:val="en-US"/>
        </w:rPr>
        <w:t>det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Indberetning til registre p</w:t>
      </w:r>
      <w:r>
        <w:rPr>
          <w:rtl w:val="0"/>
          <w:lang w:val="en-US"/>
        </w:rPr>
        <w:t xml:space="preserve">å </w:t>
      </w:r>
      <w:r>
        <w:rPr>
          <w:rtl w:val="0"/>
          <w:lang w:val="en-US"/>
        </w:rPr>
        <w:t>sundhedsomr</w:t>
      </w:r>
      <w:r>
        <w:rPr>
          <w:rtl w:val="0"/>
          <w:lang w:val="en-US"/>
        </w:rPr>
        <w:t>å</w:t>
      </w:r>
      <w:r>
        <w:rPr>
          <w:rtl w:val="0"/>
          <w:lang w:val="en-US"/>
        </w:rPr>
        <w:t>det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Sag- og dokument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det kommunale omr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</w:t>
      </w:r>
    </w:p>
    <w:p>
      <w:pPr>
        <w:pStyle w:val="Overskrift"/>
        <w:numPr>
          <w:ilvl w:val="0"/>
          <w:numId w:val="8"/>
        </w:numPr>
      </w:pPr>
      <w:bookmarkStart w:name="strategiskarkitektur" w:id="11"/>
      <w:bookmarkEnd w:id="11"/>
      <w:r>
        <w:rPr>
          <w:rtl w:val="0"/>
          <w:lang w:val="da-DK"/>
        </w:rPr>
        <w:t>S</w:t>
      </w:r>
      <w:r>
        <w:rPr>
          <w:rtl w:val="0"/>
          <w:lang w:val="da-DK"/>
        </w:rPr>
        <w:t>trategisk arkitektur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Udarbejdelsen af referencearkitekturen tager udgangspunkt i en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 identificerede forretningsm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ssige og teknologiske trends og tendenser.</w:t>
      </w:r>
    </w:p>
    <w:p>
      <w:pPr>
        <w:pStyle w:val="Overskrift 2"/>
        <w:numPr>
          <w:ilvl w:val="1"/>
          <w:numId w:val="2"/>
        </w:numPr>
      </w:pPr>
      <w:bookmarkStart w:name="forretningsmæssigetendenser" w:id="12"/>
      <w:bookmarkEnd w:id="12"/>
      <w:r>
        <w:rPr>
          <w:rtl w:val="0"/>
        </w:rPr>
        <w:t>F</w:t>
      </w:r>
      <w:r>
        <w:rPr>
          <w:rtl w:val="0"/>
        </w:rPr>
        <w:t>orretningsm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ssige tendenser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 xml:space="preserve">Nationalt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 om at undg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knopskudte 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sninger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 xml:space="preserve">Data har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get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 for organisationer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Ø</w:t>
      </w:r>
      <w:r>
        <w:rPr>
          <w:rtl w:val="0"/>
          <w:lang w:val="da-DK"/>
        </w:rPr>
        <w:t>get bev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genhed omkring beskyttelse af privatliv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Ø</w:t>
      </w:r>
      <w:r>
        <w:rPr>
          <w:rtl w:val="0"/>
          <w:lang w:val="da-DK"/>
        </w:rPr>
        <w:t>get opm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rksomhed om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ndtering af personlige oplysninger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ngden af oplysninger der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ndteres stiger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Gr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nseoverskridende services</w:t>
      </w:r>
    </w:p>
    <w:p>
      <w:pPr>
        <w:pStyle w:val="Overskrift 2"/>
        <w:numPr>
          <w:ilvl w:val="1"/>
          <w:numId w:val="9"/>
        </w:numPr>
      </w:pPr>
      <w:bookmarkStart w:name="teknologisketendenser" w:id="13"/>
      <w:bookmarkEnd w:id="13"/>
      <w:r>
        <w:rPr>
          <w:rtl w:val="0"/>
        </w:rPr>
        <w:t>T</w:t>
      </w:r>
      <w:r>
        <w:rPr>
          <w:rtl w:val="0"/>
        </w:rPr>
        <w:t>eknologiske tendenser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ø</w:t>
      </w:r>
      <w:r>
        <w:rPr>
          <w:rtl w:val="0"/>
          <w:lang w:val="da-DK"/>
        </w:rPr>
        <w:t>get central standardisering af begreber, datamodeller og 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nseflader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Flere og mere forskelligartede enheder forbundet til netv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rket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Ø</w:t>
      </w:r>
      <w:r>
        <w:rPr>
          <w:rtl w:val="0"/>
          <w:lang w:val="da-DK"/>
        </w:rPr>
        <w:t>gede forventninger til brugervenlighed af offentlige digitale services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ngden af tilg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ngelige oplysninger vokser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Arkitekturvision for anvendelse og udstilling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Integrated Service Delivery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”</w:t>
      </w:r>
      <w:r>
        <w:rPr>
          <w:rtl w:val="0"/>
          <w:lang w:val="da-DK"/>
        </w:rPr>
        <w:t xml:space="preserve">Interoperability/Samarbejdende infrastrukturer /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kosystem af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sninger?</w:t>
      </w:r>
      <w:r>
        <w:rPr>
          <w:rtl w:val="0"/>
          <w:lang w:val="da-DK"/>
        </w:rPr>
        <w:t>”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”</w:t>
      </w:r>
      <w:r>
        <w:rPr>
          <w:rtl w:val="0"/>
          <w:lang w:val="da-DK"/>
        </w:rPr>
        <w:t>Valgfrihed for anvender mellem flere tekniske udbydere af samme oplysninger</w:t>
      </w:r>
      <w:r>
        <w:rPr>
          <w:rtl w:val="0"/>
          <w:lang w:val="da-DK"/>
        </w:rPr>
        <w:t>”</w:t>
      </w:r>
    </w:p>
    <w:p>
      <w:pPr>
        <w:pStyle w:val="Overskrift 2"/>
        <w:numPr>
          <w:ilvl w:val="1"/>
          <w:numId w:val="10"/>
        </w:numPr>
      </w:pPr>
      <w:bookmarkStart w:name="strategiskemålsætninger" w:id="14"/>
      <w:bookmarkEnd w:id="14"/>
      <w:r>
        <w:rPr>
          <w:rtl w:val="0"/>
          <w:lang w:val="da-DK"/>
        </w:rPr>
        <w:t>S</w:t>
      </w:r>
      <w:r>
        <w:rPr>
          <w:rtl w:val="0"/>
          <w:lang w:val="da-DK"/>
        </w:rPr>
        <w:t>trategiske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tninger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De overordnede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tninger for denne referencearkitektur kobler alle til visionen om det datadrevne samfund, hvor data ses som et 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stof for samfundsudviklingen.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tningerne inkluderer: </w:t>
      </w:r>
      <w:r>
        <w:rPr>
          <w:shd w:val="clear" w:color="auto" w:fill="ffff00"/>
          <w:rtl w:val="0"/>
          <w:lang w:val="da-DK"/>
        </w:rPr>
        <w:t xml:space="preserve">- </w:t>
      </w:r>
      <w:r>
        <w:rPr>
          <w:rFonts w:ascii="Cambria" w:cs="Cambria" w:hAnsi="Cambria" w:eastAsia="Cambria"/>
          <w:b w:val="1"/>
          <w:bCs w:val="1"/>
          <w:shd w:val="clear" w:color="auto" w:fill="ffff00"/>
          <w:rtl w:val="0"/>
          <w:lang w:val="da-DK"/>
        </w:rPr>
        <w:t>Interoperabilitet</w:t>
      </w:r>
      <w:r>
        <w:rPr>
          <w:shd w:val="clear" w:color="auto" w:fill="ffff00"/>
          <w:rtl w:val="0"/>
          <w:lang w:val="da-DK"/>
        </w:rPr>
        <w:t xml:space="preserve"> ~ </w:t>
      </w: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m</w:t>
      </w: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å</w:t>
      </w: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l</w:t>
      </w:r>
      <w:r>
        <w:rPr>
          <w:shd w:val="clear" w:color="auto" w:fill="ffff00"/>
          <w:rtl w:val="0"/>
          <w:lang w:val="da-DK"/>
        </w:rPr>
        <w:t xml:space="preserve"> om sammenh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 xml:space="preserve">ngende services... integrated service delivery - </w:t>
      </w:r>
      <w:r>
        <w:rPr>
          <w:rFonts w:ascii="Cambria" w:cs="Cambria" w:hAnsi="Cambria" w:eastAsia="Cambria"/>
          <w:b w:val="1"/>
          <w:bCs w:val="1"/>
          <w:shd w:val="clear" w:color="auto" w:fill="ffff00"/>
          <w:rtl w:val="0"/>
          <w:lang w:val="da-DK"/>
        </w:rPr>
        <w:t>Once-only</w:t>
      </w:r>
      <w:r>
        <w:rPr>
          <w:shd w:val="clear" w:color="auto" w:fill="ffff00"/>
          <w:rtl w:val="0"/>
          <w:lang w:val="da-DK"/>
        </w:rPr>
        <w:t xml:space="preserve"> ~ </w:t>
      </w: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m</w:t>
      </w: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å</w:t>
      </w: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l</w:t>
      </w:r>
      <w:r>
        <w:rPr>
          <w:shd w:val="clear" w:color="auto" w:fill="ffff00"/>
          <w:rtl w:val="0"/>
          <w:lang w:val="da-DK"/>
        </w:rPr>
        <w:t xml:space="preserve"> om at borger og virksomhed kun skal afgive den samme information til det offentlige</w:t>
      </w:r>
      <w:r>
        <w:rPr>
          <w:rtl w:val="0"/>
          <w:lang w:val="da-DK"/>
        </w:rPr>
        <w:t xml:space="preserve"> en gang... (men give lov til genbrug?) - </w:t>
      </w:r>
      <w:r>
        <w:rPr>
          <w:rFonts w:ascii="Cambria" w:cs="Cambria" w:hAnsi="Cambria" w:eastAsia="Cambria"/>
          <w:b w:val="1"/>
          <w:bCs w:val="1"/>
          <w:rtl w:val="0"/>
          <w:lang w:val="da-DK"/>
        </w:rPr>
        <w:t>Transparens</w:t>
      </w:r>
      <w:r>
        <w:rPr>
          <w:rtl w:val="0"/>
          <w:lang w:val="da-DK"/>
        </w:rPr>
        <w:t xml:space="preserve"> ~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m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å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l</w:t>
      </w:r>
      <w:r>
        <w:rPr>
          <w:rtl w:val="0"/>
          <w:lang w:val="da-DK"/>
        </w:rPr>
        <w:t xml:space="preserve"> om at borgere og virksomheder skal kunne se, hvilke data der findes om dem, og hvor disse data anvendes - </w:t>
      </w:r>
      <w:r>
        <w:rPr>
          <w:rFonts w:ascii="Cambria" w:cs="Cambria" w:hAnsi="Cambria" w:eastAsia="Cambria"/>
          <w:b w:val="1"/>
          <w:bCs w:val="1"/>
          <w:rtl w:val="0"/>
          <w:lang w:val="da-DK"/>
        </w:rPr>
        <w:t>Genbrug</w:t>
      </w:r>
      <w:r>
        <w:rPr>
          <w:rtl w:val="0"/>
          <w:lang w:val="da-DK"/>
        </w:rPr>
        <w:t xml:space="preserve"> ~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m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å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l</w:t>
      </w:r>
      <w:r>
        <w:rPr>
          <w:rtl w:val="0"/>
          <w:lang w:val="da-DK"/>
        </w:rPr>
        <w:t xml:space="preserve"> om genbrug af it med henblik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lavere omkostninger</w:t>
      </w:r>
    </w:p>
    <w:p>
      <w:pPr>
        <w:pStyle w:val="Overskrift 2"/>
        <w:numPr>
          <w:ilvl w:val="1"/>
          <w:numId w:val="2"/>
        </w:numPr>
      </w:pPr>
      <w:bookmarkStart w:name="vision" w:id="15"/>
      <w:bookmarkEnd w:id="15"/>
      <w:r>
        <w:rPr>
          <w:rtl w:val="0"/>
          <w:lang w:val="da-DK"/>
        </w:rPr>
        <w:t>V</w:t>
      </w:r>
      <w:r>
        <w:rPr>
          <w:rtl w:val="0"/>
          <w:lang w:val="da-DK"/>
        </w:rPr>
        <w:t>ision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Visionen i denne referencearkitektur er at str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be efter en situation, hvor:</w:t>
      </w:r>
    </w:p>
    <w:p>
      <w:pPr>
        <w:pStyle w:val="Block Text"/>
        <w:rPr>
          <w:lang w:val="da-DK"/>
        </w:rPr>
      </w:pPr>
      <w:r>
        <w:rPr>
          <w:rFonts w:ascii="Calibri" w:cs="Calibri" w:hAnsi="Calibri" w:eastAsia="Calibri"/>
          <w:i w:val="1"/>
          <w:iCs w:val="1"/>
          <w:rtl w:val="0"/>
          <w:lang w:val="da-DK"/>
        </w:rPr>
        <w:t>Data betragtes som en f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lles, v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rdifuld og velbeskyttet ressource; de skal v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re nemme at dele og bruge, men sv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re at misbruge</w:t>
      </w:r>
    </w:p>
    <w:p>
      <w:pPr>
        <w:pStyle w:val="Block Text"/>
        <w:rPr>
          <w:lang w:val="da-DK"/>
        </w:rPr>
      </w:pPr>
      <w:r>
        <w:rPr>
          <w:rFonts w:ascii="Calibri" w:cs="Calibri" w:hAnsi="Calibri" w:eastAsia="Calibri"/>
          <w:i w:val="1"/>
          <w:iCs w:val="1"/>
          <w:rtl w:val="0"/>
          <w:lang w:val="da-DK"/>
        </w:rPr>
        <w:t>Data beskrives, fordeles, forbedres og beskyttes i f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lleskab.</w:t>
      </w:r>
    </w:p>
    <w:p>
      <w:pPr>
        <w:pStyle w:val="Block Text"/>
        <w:rPr>
          <w:lang w:val="da-DK"/>
        </w:rPr>
      </w:pPr>
      <w:r>
        <w:rPr>
          <w:rFonts w:ascii="Calibri" w:cs="Calibri" w:hAnsi="Calibri" w:eastAsia="Calibri"/>
          <w:i w:val="1"/>
          <w:iCs w:val="1"/>
          <w:rtl w:val="0"/>
          <w:lang w:val="da-DK"/>
        </w:rPr>
        <w:t>F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lles metoder for datadeling underst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ø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tter sammenstilling af data og tv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rg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å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ende brug blandt myndigheder og virksomheder</w:t>
      </w:r>
    </w:p>
    <w:p>
      <w:pPr>
        <w:pStyle w:val="Block Text"/>
        <w:rPr>
          <w:lang w:val="da-DK"/>
        </w:rPr>
      </w:pPr>
      <w:r>
        <w:rPr>
          <w:rFonts w:ascii="Calibri" w:cs="Calibri" w:hAnsi="Calibri" w:eastAsia="Calibri"/>
          <w:i w:val="1"/>
          <w:iCs w:val="1"/>
          <w:rtl w:val="0"/>
          <w:lang w:val="da-DK"/>
        </w:rPr>
        <w:t>Beskrivelse af, adgang til og brug af data sker under klar governance og h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å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ndh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æ</w:t>
      </w:r>
      <w:r>
        <w:rPr>
          <w:rFonts w:ascii="Calibri" w:cs="Calibri" w:hAnsi="Calibri" w:eastAsia="Calibri"/>
          <w:i w:val="1"/>
          <w:iCs w:val="1"/>
          <w:rtl w:val="0"/>
          <w:lang w:val="da-DK"/>
        </w:rPr>
        <w:t>ves ud fra tydelig hjemmel</w:t>
      </w:r>
    </w:p>
    <w:p>
      <w:pPr>
        <w:pStyle w:val="Block Text"/>
        <w:rPr>
          <w:lang w:val="da-DK"/>
        </w:rPr>
      </w:pPr>
      <w:r>
        <w:rPr>
          <w:rFonts w:ascii="Calibri" w:cs="Calibri" w:hAnsi="Calibri" w:eastAsia="Calibri"/>
          <w:i w:val="1"/>
          <w:iCs w:val="1"/>
          <w:rtl w:val="0"/>
          <w:lang w:val="da-DK"/>
        </w:rPr>
        <w:t>Borgere og virksomheder har overblik over deres data og hvor, de anvendes</w:t>
      </w:r>
    </w:p>
    <w:p>
      <w:pPr>
        <w:pStyle w:val="Overskrift 2"/>
        <w:numPr>
          <w:ilvl w:val="1"/>
          <w:numId w:val="2"/>
        </w:numPr>
      </w:pPr>
      <w:bookmarkStart w:name="værdiskabelse" w:id="16"/>
      <w:bookmarkEnd w:id="16"/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rdiskabelse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rdien ved at 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lge denne referencearkitektur er, at den giver</w:t>
      </w:r>
      <w:r>
        <w:rPr>
          <w:shd w:val="clear" w:color="auto" w:fill="ffff00"/>
          <w:rtl w:val="0"/>
          <w:lang w:val="da-DK"/>
        </w:rPr>
        <w:t>: - Mindre besv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r for borger og virksomheder ved brug af digitale services - Simplere arbejdsgange og mere potentiale for automatisering hos organisationer (myndigheder/virksomheder) - Underst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ttelse af v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rdiskabende innovation (ved at g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re data til et 'r</w:t>
      </w:r>
      <w:r>
        <w:rPr>
          <w:shd w:val="clear" w:color="auto" w:fill="ffff00"/>
          <w:rtl w:val="0"/>
          <w:lang w:val="da-DK"/>
        </w:rPr>
        <w:t>å</w:t>
      </w:r>
      <w:r>
        <w:rPr>
          <w:shd w:val="clear" w:color="auto" w:fill="ffff00"/>
          <w:rtl w:val="0"/>
          <w:lang w:val="da-DK"/>
        </w:rPr>
        <w:t>stof' for v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kst</w:t>
      </w:r>
      <w:r>
        <w:rPr>
          <w:rtl w:val="0"/>
          <w:lang w:val="da-DK"/>
        </w:rPr>
        <w:t>/skabelse af konkurrencefordele) -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ttelse transparens og bevare tillid til registre - Effektiv systemudvikling (begr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nser udfaldsrum, opsamler best practice)</w:t>
      </w:r>
    </w:p>
    <w:p>
      <w:pPr>
        <w:pStyle w:val="Overskrift 2"/>
        <w:numPr>
          <w:ilvl w:val="1"/>
          <w:numId w:val="2"/>
        </w:numPr>
      </w:pPr>
      <w:bookmarkStart w:name="strategiskeprincipper" w:id="17"/>
      <w:bookmarkEnd w:id="17"/>
      <w:r>
        <w:rPr>
          <w:rtl w:val="0"/>
          <w:lang w:val="da-DK"/>
        </w:rPr>
        <w:t>S</w:t>
      </w:r>
      <w:r>
        <w:rPr>
          <w:rtl w:val="0"/>
          <w:lang w:val="da-DK"/>
        </w:rPr>
        <w:t>trategiske principper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Forretningsm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ssige, Informationsm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ssige, Applikationsm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ssige og Tekniske principper bag referencearkitekturen: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F1: Byrden i datadeling skal afl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ftes fra dataejer, hvis den begr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nser genbrug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F2: Autoritative registre med henvisninger til andre registre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F3: Ansvar for begr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nsning af adgang ligger hos registerejer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I1: F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lles referenceinformationsmodel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I2: Dokument-princip (attester mv.)?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A1: Onlineopslag i sagsbehandling og selvbetjening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A2: Log adgang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A3: Adgang til og fra internationale registre sker gennem national gateway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T1: Central fuldmagts-/rettighedsstyring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T2: Multi-flavour-api</w:t>
      </w:r>
    </w:p>
    <w:p>
      <w:pPr>
        <w:pStyle w:val="First Paragraph"/>
        <w:rPr>
          <w:lang w:val="da-DK"/>
        </w:rPr>
      </w:pPr>
      <w:r>
        <w:rPr>
          <w:shd w:val="clear" w:color="auto" w:fill="ffff00"/>
          <w:rtl w:val="0"/>
          <w:lang w:val="da-DK"/>
        </w:rPr>
        <w:t>&lt;MBK: savner noget om f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lles referencedata (masterdata, grunddata, klassifikationer)&gt; &lt;MBK: savner noget om muligheder for at berige data (koble flere data omkring f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lles objekter)&gt; &lt;MBK: savner noget om kvalitetssikring af data - som l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gger op til fx at kunne flage data med d</w:t>
      </w:r>
      <w:r>
        <w:rPr>
          <w:shd w:val="clear" w:color="auto" w:fill="ffff00"/>
          <w:rtl w:val="0"/>
          <w:lang w:val="da-DK"/>
        </w:rPr>
        <w:t>å</w:t>
      </w:r>
      <w:r>
        <w:rPr>
          <w:shd w:val="clear" w:color="auto" w:fill="ffff00"/>
          <w:rtl w:val="0"/>
          <w:lang w:val="da-DK"/>
        </w:rPr>
        <w:t>rlig kvalitet, indmelde / foresl</w:t>
      </w:r>
      <w:r>
        <w:rPr>
          <w:shd w:val="clear" w:color="auto" w:fill="ffff00"/>
          <w:rtl w:val="0"/>
          <w:lang w:val="da-DK"/>
        </w:rPr>
        <w:t>å æ</w:t>
      </w:r>
      <w:r>
        <w:rPr>
          <w:shd w:val="clear" w:color="auto" w:fill="ffff00"/>
          <w:rtl w:val="0"/>
          <w:lang w:val="da-DK"/>
        </w:rPr>
        <w:t>ndring af fejl i data, is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r i delte masterdata og grunddata&gt;</w:t>
      </w:r>
    </w:p>
    <w:p>
      <w:pPr>
        <w:pStyle w:val="Overskrift"/>
        <w:numPr>
          <w:ilvl w:val="0"/>
          <w:numId w:val="11"/>
        </w:numPr>
      </w:pPr>
      <w:bookmarkStart w:name="forretningsmæssigarkitektur" w:id="18"/>
      <w:bookmarkEnd w:id="18"/>
      <w:r>
        <w:rPr>
          <w:rtl w:val="0"/>
          <w:lang w:val="da-DK"/>
        </w:rPr>
        <w:t>F</w:t>
      </w:r>
      <w:r>
        <w:rPr>
          <w:rtl w:val="0"/>
          <w:lang w:val="da-DK"/>
        </w:rPr>
        <w:t>orretningsm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 arkitektur</w:t>
      </w:r>
    </w:p>
    <w:p>
      <w:pPr>
        <w:pStyle w:val="Overskrift 2"/>
        <w:numPr>
          <w:ilvl w:val="1"/>
          <w:numId w:val="2"/>
        </w:numPr>
      </w:pPr>
      <w:bookmarkStart w:name="aktører" w:id="19"/>
      <w:bookmarkEnd w:id="19"/>
      <w:r>
        <w:rPr>
          <w:rtl w:val="0"/>
          <w:lang w:val="da-DK"/>
        </w:rPr>
        <w:t>A</w:t>
      </w:r>
      <w:r>
        <w:rPr>
          <w:rtl w:val="0"/>
          <w:lang w:val="da-DK"/>
        </w:rPr>
        <w:t>kt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De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sentligste akt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rer, der er i spil omkring deling af data og dokumenter, er</w:t>
      </w:r>
      <w:r>
        <w:rPr>
          <w:shd w:val="clear" w:color="auto" w:fill="ffff00"/>
          <w:rtl w:val="0"/>
          <w:lang w:val="da-DK"/>
        </w:rPr>
        <w:t>: - Offentlige myndigheder, herunder virksomheder, der handler p</w:t>
      </w:r>
      <w:r>
        <w:rPr>
          <w:shd w:val="clear" w:color="auto" w:fill="ffff00"/>
          <w:rtl w:val="0"/>
          <w:lang w:val="da-DK"/>
        </w:rPr>
        <w:t xml:space="preserve">å </w:t>
      </w:r>
      <w:r>
        <w:rPr>
          <w:shd w:val="clear" w:color="auto" w:fill="ffff00"/>
          <w:rtl w:val="0"/>
          <w:lang w:val="da-DK"/>
        </w:rPr>
        <w:t>vegne af offentlige myn</w:t>
      </w:r>
      <w:r>
        <w:rPr>
          <w:rtl w:val="0"/>
          <w:lang w:val="da-DK"/>
        </w:rPr>
        <w:t>digheder - Borgere og virksomheder</w:t>
      </w:r>
    </w:p>
    <w:p>
      <w:pPr>
        <w:pStyle w:val="Overskrift 2"/>
        <w:numPr>
          <w:ilvl w:val="1"/>
          <w:numId w:val="2"/>
        </w:numPr>
      </w:pPr>
      <w:bookmarkStart w:name="opgaver" w:id="20"/>
      <w:bookmarkEnd w:id="20"/>
      <w:r>
        <w:rPr>
          <w:rtl w:val="0"/>
          <w:lang w:val="da-DK"/>
        </w:rPr>
        <w:t>O</w:t>
      </w:r>
      <w:r>
        <w:rPr>
          <w:rtl w:val="0"/>
          <w:lang w:val="da-DK"/>
        </w:rPr>
        <w:t>pgaver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Forretningsm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ssigt set finder referencearkitekturen anvendelse i 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sningen af alle offentlige opgaver. Specifikt kan 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vnes: </w:t>
      </w:r>
      <w:r>
        <w:rPr>
          <w:shd w:val="clear" w:color="auto" w:fill="ffff00"/>
          <w:rtl w:val="0"/>
          <w:lang w:val="da-DK"/>
        </w:rPr>
        <w:t>- Borger- og virksomhedsvendte selvbetjeningsl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sninger - Myndigheders sagsbehandling</w:t>
      </w:r>
      <w:r>
        <w:rPr>
          <w:rtl w:val="0"/>
          <w:lang w:val="da-DK"/>
        </w:rPr>
        <w:t xml:space="preserve"> - Tv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ende analyse, tilsyn og kontrol</w:t>
      </w:r>
    </w:p>
    <w:p>
      <w:pPr>
        <w:pStyle w:val="Overskrift 2"/>
        <w:numPr>
          <w:ilvl w:val="1"/>
          <w:numId w:val="2"/>
        </w:numPr>
      </w:pPr>
      <w:bookmarkStart w:name="funktioner" w:id="21"/>
      <w:bookmarkEnd w:id="21"/>
      <w:r>
        <w:rPr>
          <w:rtl w:val="0"/>
          <w:lang w:val="da-DK"/>
        </w:rPr>
        <w:t>F</w:t>
      </w:r>
      <w:r>
        <w:rPr>
          <w:rtl w:val="0"/>
          <w:lang w:val="da-DK"/>
        </w:rPr>
        <w:t>unktioner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Referencearkitekturen kredser om tre centrale use cases, hvor akt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 arbejder sammen i forskellige roller.</w:t>
      </w:r>
    </w:p>
    <w:p>
      <w:pPr>
        <w:pStyle w:val="Figure with Caption"/>
      </w:pPr>
      <w:r>
        <w:drawing>
          <wp:inline distT="0" distB="0" distL="0" distR="0">
            <wp:extent cx="5334000" cy="3749364"/>
            <wp:effectExtent l="0" t="0" r="0" b="0"/>
            <wp:docPr id="1073741826" name="officeArt object" descr="Tværgående use cases og funktioner hos de enkelte roll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værgående use cases og funktioner hos de enkelte roller" descr="Tværgående use cases og funktioner hos de enkelte roller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493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shd w:val="clear" w:color="auto" w:fill="ffff00"/>
          <w:rtl w:val="0"/>
          <w:lang w:val="da-DK"/>
        </w:rPr>
        <w:t>Tv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rg</w:t>
      </w:r>
      <w:r>
        <w:rPr>
          <w:shd w:val="clear" w:color="auto" w:fill="ffff00"/>
          <w:rtl w:val="0"/>
          <w:lang w:val="da-DK"/>
        </w:rPr>
        <w:t>å</w:t>
      </w:r>
      <w:r>
        <w:rPr>
          <w:shd w:val="clear" w:color="auto" w:fill="ffff00"/>
          <w:rtl w:val="0"/>
          <w:lang w:val="da-DK"/>
        </w:rPr>
        <w:t>ende use cases og funktioner hos de enkelte roller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De tre use cases er:</w:t>
      </w:r>
    </w:p>
    <w:p>
      <w:pPr>
        <w:pStyle w:val="Body Text"/>
        <w:rPr>
          <w:lang w:val="da-DK"/>
        </w:rPr>
      </w:pPr>
      <w:r>
        <w:rPr>
          <w:rFonts w:ascii="Cambria" w:cs="Cambria" w:hAnsi="Cambria" w:eastAsia="Cambria"/>
          <w:b w:val="1"/>
          <w:bCs w:val="1"/>
          <w:rtl w:val="0"/>
          <w:lang w:val="da-DK"/>
        </w:rPr>
        <w:t>Registrering</w:t>
      </w:r>
      <w:r>
        <w:rPr>
          <w:rtl w:val="0"/>
          <w:lang w:val="da-DK"/>
        </w:rPr>
        <w:t xml:space="preserve"> ~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collaboration</w:t>
      </w:r>
      <w:r>
        <w:rPr>
          <w:rtl w:val="0"/>
          <w:lang w:val="da-DK"/>
        </w:rPr>
        <w:t xml:space="preserve"> hvor oplysninger bringes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digital form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Anvendelse af udstillede data (herunder dokumenter)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collaboration</w:t>
      </w:r>
      <w:r>
        <w:rPr>
          <w:rtl w:val="0"/>
          <w:lang w:val="da-DK"/>
        </w:rPr>
        <w:t xml:space="preserve"> hvor oplysninger anvendes i en opgave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Forsendelse af meddelelser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collaboration</w:t>
      </w:r>
      <w:r>
        <w:rPr>
          <w:rtl w:val="0"/>
          <w:lang w:val="da-DK"/>
        </w:rPr>
        <w:t xml:space="preserve"> hvor meddelelser sendes uafviseligt</w:t>
      </w:r>
    </w:p>
    <w:p>
      <w:pPr>
        <w:pStyle w:val="Overskrift 3"/>
        <w:numPr>
          <w:ilvl w:val="2"/>
          <w:numId w:val="2"/>
        </w:numPr>
      </w:pPr>
      <w:bookmarkStart w:name="roller" w:id="22"/>
      <w:bookmarkEnd w:id="22"/>
      <w:r>
        <w:rPr>
          <w:rtl w:val="0"/>
          <w:lang w:val="da-DK"/>
        </w:rPr>
        <w:t>R</w:t>
      </w:r>
      <w:r>
        <w:rPr>
          <w:rtl w:val="0"/>
          <w:lang w:val="da-DK"/>
        </w:rPr>
        <w:t>oller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I ovenst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ende use cases indg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disse roller</w:t>
      </w:r>
      <w:r>
        <w:rPr>
          <w:shd w:val="clear" w:color="auto" w:fill="ffff00"/>
          <w:rtl w:val="0"/>
          <w:lang w:val="da-DK"/>
        </w:rPr>
        <w:t xml:space="preserve">: - Registrant ~ </w:t>
      </w: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da-DK"/>
        </w:rPr>
        <w:t>rolle</w:t>
      </w:r>
      <w:r>
        <w:rPr>
          <w:shd w:val="clear" w:color="auto" w:fill="ffff00"/>
          <w:rtl w:val="0"/>
          <w:lang w:val="da-DK"/>
        </w:rPr>
        <w:t xml:space="preserve"> som bringer</w:t>
      </w:r>
      <w:r>
        <w:rPr>
          <w:rtl w:val="0"/>
          <w:lang w:val="da-DK"/>
        </w:rPr>
        <w:t xml:space="preserve"> oplysninger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digital form, registrer</w:t>
      </w:r>
    </w:p>
    <w:p>
      <w:pPr>
        <w:pStyle w:val="Definition Term"/>
        <w:numPr>
          <w:ilvl w:val="0"/>
          <w:numId w:val="4"/>
        </w:numPr>
        <w:bidi w:val="0"/>
        <w:ind w:right="0"/>
        <w:jc w:val="left"/>
        <w:rPr>
          <w:shd w:val="clear" w:color="auto" w:fill="ffff00"/>
          <w:rtl w:val="0"/>
          <w:lang w:val="en-US"/>
        </w:rPr>
      </w:pPr>
      <w:r>
        <w:rPr>
          <w:shd w:val="clear" w:color="auto" w:fill="ffff00"/>
          <w:rtl w:val="0"/>
          <w:lang w:val="en-US"/>
        </w:rPr>
        <w:t>Datasubject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shd w:val="clear" w:color="auto" w:fill="ffff00"/>
          <w:rtl w:val="0"/>
          <w:lang w:val="en-US"/>
        </w:rPr>
      </w:pPr>
      <w:r>
        <w:rPr>
          <w:rFonts w:ascii="Cambria" w:cs="Cambria" w:hAnsi="Cambria" w:eastAsia="Cambria"/>
          <w:i w:val="1"/>
          <w:iCs w:val="1"/>
          <w:shd w:val="clear" w:color="auto" w:fill="ffff00"/>
          <w:rtl w:val="0"/>
          <w:lang w:val="en-US"/>
        </w:rPr>
        <w:t>rolle</w:t>
      </w:r>
      <w:r>
        <w:rPr>
          <w:shd w:val="clear" w:color="auto" w:fill="ffff00"/>
          <w:rtl w:val="0"/>
          <w:lang w:val="en-US"/>
        </w:rPr>
        <w:t xml:space="preserve"> som oplysninger handler</w:t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Dataanvender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rolle</w:t>
      </w:r>
      <w:r>
        <w:rPr>
          <w:rtl w:val="0"/>
          <w:lang w:val="da-DK"/>
        </w:rPr>
        <w:t xml:space="preserve"> der anvender oplysninger fra et register</w:t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Dataejer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rolle</w:t>
      </w:r>
      <w:r>
        <w:rPr>
          <w:rtl w:val="0"/>
          <w:lang w:val="da-DK"/>
        </w:rPr>
        <w:t xml:space="preserve"> som ejer registreringer/data, ansvar for at udarbejde adgangspolitik</w:t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Datadistribut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r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rolle</w:t>
      </w:r>
      <w:r>
        <w:rPr>
          <w:rtl w:val="0"/>
          <w:lang w:val="da-DK"/>
        </w:rPr>
        <w:t xml:space="preserve"> som distribuerer data, ansvar for at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 adgangspolitik</w:t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Messaging User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rolle</w:t>
      </w:r>
      <w:r>
        <w:rPr>
          <w:rtl w:val="0"/>
          <w:lang w:val="da-DK"/>
        </w:rPr>
        <w:t xml:space="preserve"> som der sender og modtager meddelelser</w:t>
      </w:r>
    </w:p>
    <w:p>
      <w:pPr>
        <w:pStyle w:val="Definition Term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Messaging Provider</w:t>
      </w:r>
    </w:p>
    <w:p>
      <w:pPr>
        <w:pStyle w:val="Definition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rolle</w:t>
      </w:r>
      <w:r>
        <w:rPr>
          <w:rtl w:val="0"/>
          <w:lang w:val="da-DK"/>
        </w:rPr>
        <w:t xml:space="preserve"> som leverer services til forsendelse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Nogle af overnst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ende roller kan betragtes som specialiseringer af GDPR-rollen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Databehandler</w:t>
      </w:r>
      <w:r>
        <w:rPr>
          <w:rtl w:val="0"/>
          <w:lang w:val="da-DK"/>
        </w:rPr>
        <w:t>.</w:t>
      </w:r>
    </w:p>
    <w:p>
      <w:pPr>
        <w:pStyle w:val="Overskrift 3"/>
        <w:numPr>
          <w:ilvl w:val="2"/>
          <w:numId w:val="12"/>
        </w:numPr>
      </w:pPr>
      <w:bookmarkStart w:name="usecases" w:id="23"/>
      <w:bookmarkEnd w:id="23"/>
      <w:r>
        <w:rPr>
          <w:rtl w:val="0"/>
        </w:rPr>
        <w:t>U</w:t>
      </w:r>
      <w:r>
        <w:rPr>
          <w:rtl w:val="0"/>
          <w:lang w:val="en-US"/>
        </w:rPr>
        <w:t>se cases</w:t>
      </w:r>
    </w:p>
    <w:p>
      <w:pPr>
        <w:pStyle w:val="Figure with Caption"/>
      </w:pPr>
      <w:r>
        <w:drawing>
          <wp:inline distT="0" distB="0" distL="0" distR="0">
            <wp:extent cx="5334000" cy="2159291"/>
            <wp:effectExtent l="0" t="0" r="0" b="0"/>
            <wp:docPr id="1073741827" name="officeArt object" descr="To scenari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o scenarier" descr="To scenarier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59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shd w:val="clear" w:color="auto" w:fill="ffff00"/>
          <w:rtl w:val="0"/>
          <w:lang w:val="da-DK"/>
        </w:rPr>
        <w:t>To scenarier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Figuren ovenfor beskriver det overordnede procesflow i de tre use cases.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sentligt at fremh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 er:</w:t>
      </w:r>
    </w:p>
    <w:p>
      <w:pPr>
        <w:pStyle w:val="Body Text"/>
        <w:rPr>
          <w:lang w:val="da-DK"/>
        </w:rPr>
      </w:pPr>
      <w:r>
        <w:rPr>
          <w:rFonts w:ascii="Cambria" w:cs="Cambria" w:hAnsi="Cambria" w:eastAsia="Cambria"/>
          <w:b w:val="1"/>
          <w:bCs w:val="1"/>
          <w:rtl w:val="0"/>
          <w:lang w:val="da-DK"/>
        </w:rPr>
        <w:t>Registrering</w:t>
      </w:r>
      <w:r>
        <w:rPr>
          <w:rtl w:val="0"/>
          <w:lang w:val="da-DK"/>
        </w:rPr>
        <w:t>: En registrant initierer processen ved at registrere ny data hos Dataejer (der er ansvarlig for sikring af hjemmel og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velse af adgangspolitik). 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data er korrekt registreret, skal det markeres som klar til at blive udstillet.</w:t>
      </w:r>
    </w:p>
    <w:p>
      <w:pPr>
        <w:pStyle w:val="Body Text"/>
        <w:rPr>
          <w:lang w:val="da-DK"/>
        </w:rPr>
      </w:pPr>
      <w:r>
        <w:rPr>
          <w:rFonts w:ascii="Cambria" w:cs="Cambria" w:hAnsi="Cambria" w:eastAsia="Cambria"/>
          <w:b w:val="1"/>
          <w:bCs w:val="1"/>
          <w:rtl w:val="0"/>
          <w:lang w:val="da-DK"/>
        </w:rPr>
        <w:t>Anvendelse af udstillede data</w:t>
      </w:r>
      <w:r>
        <w:rPr>
          <w:rtl w:val="0"/>
          <w:lang w:val="da-DK"/>
        </w:rPr>
        <w:t>: Denne proces initieres hos Dataanvender - typisk en myndighed, men kan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en virksomhed - ud fra startsituationen, at man har erkendt et behov for data. Dataanvender sender en foresp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rgsel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 xml:space="preserve">data, der beskriver dels, hvilke data, der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nskes, og dels med hvilken hjemmel. Dataejer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ver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denne baggrund adgangskontrol, inden data deles og sendes i et svar til Dataanvender. Slutsituationen bliver, at Dataanvenders databehov er opfyldt. Dataejer er ikke n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dvendigvis klar over, hvilket databehov foresp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rgslen har tjent til at tilfredsstille -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nge, adgangen er legitim, kender Dataejer ikke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 med Dataanvenders brug af data.</w:t>
      </w:r>
    </w:p>
    <w:p>
      <w:pPr>
        <w:pStyle w:val="Body Text"/>
        <w:rPr>
          <w:lang w:val="da-DK"/>
        </w:rPr>
      </w:pPr>
      <w:r>
        <w:rPr>
          <w:rFonts w:ascii="Cambria" w:cs="Cambria" w:hAnsi="Cambria" w:eastAsia="Cambria"/>
          <w:b w:val="1"/>
          <w:bCs w:val="1"/>
          <w:rtl w:val="0"/>
          <w:lang w:val="da-DK"/>
        </w:rPr>
        <w:t>Forsendelse af meddelelser</w:t>
      </w:r>
      <w:r>
        <w:rPr>
          <w:rtl w:val="0"/>
          <w:lang w:val="da-DK"/>
        </w:rPr>
        <w:t>: Til forskel fra Anvendelse af udstillede data starter denne proces hos Afsenderen (der tillige kan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Dataejer). Afsender har udvalgt og pakketeret data i en Meddelelse (evt. i form af et dokument), adresserer Meddelelsen og sender den herefter til Modtager. Modtager kan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alle typer af akt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rer; i figuren er vist, hvordan det hos en myndighed kan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relevant at fordele/route Meddelelsen internt ud fra adresseringsoplysningerne. I sammenligning med Anvendelse af udstillede data er det nu Afsender, der som deler af data 'ejer' den fulde forretningskontekst - hvor Dataejer overnfor ikke var bekendt med form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let med at dele data.</w:t>
      </w:r>
    </w:p>
    <w:p>
      <w:pPr>
        <w:pStyle w:val="Overskrift 2"/>
        <w:numPr>
          <w:ilvl w:val="1"/>
          <w:numId w:val="13"/>
        </w:numPr>
      </w:pPr>
      <w:bookmarkStart w:name="tværgåendeprocesser" w:id="24"/>
      <w:bookmarkEnd w:id="24"/>
      <w:r>
        <w:rPr>
          <w:rtl w:val="0"/>
          <w:lang w:val="da-DK"/>
        </w:rPr>
        <w:t>T</w:t>
      </w:r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ende processer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Herunder beskrives, hvor de enkelte business functions hos de enkelte roller anvendes i kontekst af et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 af generiske procesm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nstre.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Sagsbehandling (fra Sag og dokument)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Simpel selvbetjening (fra Selvbetjening)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shd w:val="clear" w:color="auto" w:fill="ffff00"/>
          <w:rtl w:val="0"/>
          <w:lang w:val="da-DK"/>
        </w:rPr>
      </w:pPr>
      <w:r>
        <w:rPr>
          <w:rtl w:val="0"/>
          <w:lang w:val="da-DK"/>
        </w:rPr>
        <w:t>Tv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ende selvbetjening (fra Sammenh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ngende services) </w:t>
      </w:r>
      <w:r>
        <w:rPr>
          <w:shd w:val="clear" w:color="auto" w:fill="ffff00"/>
          <w:rtl w:val="0"/>
          <w:lang w:val="da-DK"/>
        </w:rPr>
        <w:t>[MBK: ]: x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Indsigt i oplysninger og deres anvendelse (fra Overblik over sag og ydelser)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Sende meddelelse (inkl. brug af tilmeldingslister og p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mindelser)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Modtage meddelelse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Tag et dokument med til en anden service provider, der ikke har adgang til registre - herunder beskrive, hvordan dokumenter valideres.</w:t>
      </w:r>
    </w:p>
    <w:p>
      <w:pPr>
        <w:pStyle w:val="Overskrift 2"/>
        <w:numPr>
          <w:ilvl w:val="1"/>
          <w:numId w:val="14"/>
        </w:numPr>
      </w:pPr>
      <w:bookmarkStart w:name="forretningstjenester" w:id="25"/>
      <w:bookmarkEnd w:id="25"/>
      <w:r>
        <w:rPr>
          <w:rtl w:val="0"/>
          <w:lang w:val="da-DK"/>
        </w:rPr>
        <w:t>F</w:t>
      </w:r>
      <w:r>
        <w:rPr>
          <w:rtl w:val="0"/>
          <w:lang w:val="da-DK"/>
        </w:rPr>
        <w:t>orretningstjenester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Procestrin udtrykkes typisk ved Forretningstjenester, der igen kan realiseres af interne business functions eller tr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eksterne business services.</w:t>
      </w:r>
    </w:p>
    <w:p>
      <w:pPr>
        <w:pStyle w:val="Overskrift 2"/>
        <w:numPr>
          <w:ilvl w:val="1"/>
          <w:numId w:val="2"/>
        </w:numPr>
      </w:pPr>
      <w:bookmarkStart w:name="forretningsobjekter" w:id="26"/>
      <w:bookmarkEnd w:id="26"/>
      <w:r>
        <w:rPr>
          <w:rtl w:val="0"/>
          <w:lang w:val="da-DK"/>
        </w:rPr>
        <w:t>F</w:t>
      </w:r>
      <w:r>
        <w:rPr>
          <w:rtl w:val="0"/>
          <w:lang w:val="da-DK"/>
        </w:rPr>
        <w:t>orretningsobjekter</w:t>
      </w:r>
    </w:p>
    <w:p>
      <w:pPr>
        <w:pStyle w:val="First Paragraph"/>
      </w:pPr>
      <w:r>
        <w:rPr>
          <w:rtl w:val="0"/>
          <w:lang w:val="da-DK"/>
        </w:rPr>
        <w:t>Nedenfor fremg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en initiel oversigt over en 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 forretningsobjekter, der er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sentlige for referencearkitekturen. Det videre arbejde skal klarl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gge, hvilke elementer der skal indg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i listen samt hvordan de defineres. Modelleringsniveauet skal endvidere 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gges fast (begrebsmodellering og/eller logiske kernemodeller?) </w:t>
      </w:r>
      <w:r>
        <w:rPr>
          <w:rtl w:val="0"/>
          <w:lang w:val="en-US"/>
        </w:rPr>
        <w:t>Kommentarer/regibem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rkninger indg</w:t>
      </w:r>
      <w:r>
        <w:rPr>
          <w:rtl w:val="0"/>
          <w:lang w:val="en-US"/>
        </w:rPr>
        <w:t>å</w:t>
      </w:r>
      <w:r>
        <w:rPr>
          <w:rtl w:val="0"/>
          <w:lang w:val="en-US"/>
        </w:rPr>
        <w:t>r i listen, markeret med kantede parenteser.</w:t>
      </w:r>
    </w:p>
    <w:p>
      <w:pPr>
        <w:pStyle w:val="Figure with Caption"/>
      </w:pPr>
      <w:r>
        <w:drawing>
          <wp:inline distT="0" distB="0" distL="0" distR="0">
            <wp:extent cx="5334000" cy="2799521"/>
            <wp:effectExtent l="0" t="0" r="0" b="0"/>
            <wp:docPr id="1073741828" name="officeArt object" descr="Oversigt over de centrale forretningsobjekter og deres relatio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versigt over de centrale forretningsobjekter og deres relationer" descr="Oversigt over de centrale forretningsobjekter og deres relationer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99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Oversigt over de centrale forretningsobjekter og deres relationer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Data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(Abstrakt. Bruges om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registerrecord og dokument)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Registeroplysning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en record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Dokument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[Dokumentmodel fra OIO]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Datasamling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[Datas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tmodel har ikke noget!] ISO9115: en identificerbar samling af oplysninger (samlebetegnelse for PSI, GPDR, )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Datasubjekt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[Grunddata, fx person]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Model/Schema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[Jf. modelregler fra FDA]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Meddelelse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[N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ste generation Digital Post]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P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mindelse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[N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ste generation Digital Post]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Registreringsh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ndelse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objekt</w:t>
      </w:r>
      <w:r>
        <w:rPr>
          <w:rtl w:val="0"/>
          <w:lang w:val="da-DK"/>
        </w:rPr>
        <w:t xml:space="preserve"> [Datafordeler]</w:t>
      </w:r>
    </w:p>
    <w:p>
      <w:pPr>
        <w:pStyle w:val="First Paragraph"/>
        <w:rPr>
          <w:lang w:val="da-DK"/>
        </w:rPr>
      </w:pPr>
      <w:r>
        <w:rPr>
          <w:shd w:val="clear" w:color="auto" w:fill="ffff00"/>
          <w:rtl w:val="0"/>
          <w:lang w:val="da-DK"/>
        </w:rPr>
        <w:t>&lt;MBK: Liste og model matcher ikke helt&gt; &lt;MBK: savner Dataservice, Forretningsh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ndelse, Klassifikation&gt; &lt;MBK: Der b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r v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re noget om sammenh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ngen mellem Referenceinformationsmodel, Applikationsprofiler og Snitfaldespecifikationer (inkl operationer og format) &lt;MBK: Noget om anonymiserede data. Evt. kandidat til standardiseret metode&gt;</w:t>
      </w:r>
    </w:p>
    <w:p>
      <w:pPr>
        <w:pStyle w:val="Overskrift 2"/>
        <w:numPr>
          <w:ilvl w:val="1"/>
          <w:numId w:val="2"/>
        </w:numPr>
      </w:pPr>
      <w:bookmarkStart w:name="forretningsmønstre" w:id="27"/>
      <w:bookmarkEnd w:id="27"/>
      <w:r>
        <w:rPr>
          <w:rtl w:val="0"/>
          <w:lang w:val="da-DK"/>
        </w:rPr>
        <w:t>F</w:t>
      </w:r>
      <w:r>
        <w:rPr>
          <w:rtl w:val="0"/>
          <w:lang w:val="da-DK"/>
        </w:rPr>
        <w:t>orretningsm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</w:t>
      </w:r>
    </w:p>
    <w:p>
      <w:pPr>
        <w:pStyle w:val="First Paragraph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TBU.</w:t>
      </w:r>
      <w:r>
        <w:rPr>
          <w:rtl w:val="0"/>
          <w:lang w:val="da-DK"/>
        </w:rPr>
        <w:t xml:space="preserve"> </w:t>
      </w:r>
    </w:p>
    <w:p>
      <w:pPr>
        <w:pStyle w:val="Overskrift"/>
        <w:numPr>
          <w:ilvl w:val="0"/>
          <w:numId w:val="15"/>
        </w:numPr>
      </w:pPr>
      <w:bookmarkStart w:name="tekniskarkitektur" w:id="28"/>
      <w:bookmarkEnd w:id="28"/>
      <w:r>
        <w:rPr>
          <w:rtl w:val="0"/>
          <w:lang w:val="da-DK"/>
        </w:rPr>
        <w:t>T</w:t>
      </w:r>
      <w:r>
        <w:rPr>
          <w:rtl w:val="0"/>
          <w:lang w:val="da-DK"/>
        </w:rPr>
        <w:t>eknisk arkitektur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Dette afsnit beskriver roller og implementeringsm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nstre, der er relevante, 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forretningsfunktionerne beskrevet ovenfor skal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ttes/realiseres af applikationer. Endvidere udpeges omr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der, der er kandidat til standardisering og/eller profilering i forbindelse med referencearkitekturen.</w:t>
      </w:r>
    </w:p>
    <w:p>
      <w:pPr>
        <w:pStyle w:val="Body Text"/>
      </w:pPr>
      <w:r>
        <w:rPr>
          <w:rtl w:val="0"/>
          <w:lang w:val="da-DK"/>
        </w:rPr>
        <w:t>De n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dvendige og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ttende applikations-services og deres indbyrdes relationer er vist i figuren nedenfor. </w:t>
      </w:r>
      <w:r>
        <w:rPr>
          <w:shd w:val="clear" w:color="auto" w:fill="ffff00"/>
          <w:rtl w:val="0"/>
          <w:lang w:val="en-US"/>
        </w:rPr>
        <w:t>&lt;TODO: Opdater figurtekst.&gt;</w:t>
      </w:r>
    </w:p>
    <w:p>
      <w:pPr>
        <w:pStyle w:val="Figure with Caption"/>
      </w:pPr>
      <w:r>
        <w:drawing>
          <wp:inline distT="0" distB="0" distL="0" distR="0">
            <wp:extent cx="5334000" cy="2539551"/>
            <wp:effectExtent l="0" t="0" r="0" b="0"/>
            <wp:docPr id="1073741829" name="officeArt object" descr="Oversigt over nødvendige og understøttende applikations-services og deres indbyrdes relation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versigt over nødvendige og understøttende applikations-services og deres indbyrdes relationer" descr="Oversigt over nødvendige og understøttende applikations-services og deres indbyrdes relationer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39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Oversigt over n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dvendige og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ttende applikations-services og deres indbyrdes relationer</w:t>
      </w:r>
    </w:p>
    <w:p>
      <w:pPr>
        <w:pStyle w:val="Overskrift 2"/>
        <w:numPr>
          <w:ilvl w:val="1"/>
          <w:numId w:val="2"/>
        </w:numPr>
      </w:pPr>
      <w:bookmarkStart w:name="applikationsroller" w:id="29"/>
      <w:bookmarkEnd w:id="29"/>
      <w:r>
        <w:rPr>
          <w:rtl w:val="0"/>
          <w:lang w:val="da-DK"/>
        </w:rPr>
        <w:t>A</w:t>
      </w:r>
      <w:r>
        <w:rPr>
          <w:rtl w:val="0"/>
          <w:lang w:val="da-DK"/>
        </w:rPr>
        <w:t>pplikationsroller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eDelivery Service Provider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applikationsservice</w:t>
      </w:r>
      <w:r>
        <w:rPr>
          <w:rtl w:val="0"/>
          <w:lang w:val="da-DK"/>
        </w:rPr>
        <w:t xml:space="preserve"> som skal kunne: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udstille eller levere meddelelser til modtager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modtage og distribuere meddeleleser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fort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lle andre om deres kunder</w:t>
      </w:r>
    </w:p>
    <w:p>
      <w:pPr>
        <w:pStyle w:val="Definition Term"/>
      </w:pPr>
      <w:r>
        <w:rPr>
          <w:rtl w:val="0"/>
        </w:rPr>
        <w:t>Dataservice</w:t>
      </w:r>
    </w:p>
    <w:p>
      <w:pPr>
        <w:pStyle w:val="Definition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applikationsservice</w:t>
      </w:r>
      <w:r>
        <w:rPr>
          <w:rtl w:val="0"/>
        </w:rPr>
        <w:t xml:space="preserve"> som skal kunne: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opbevare datasamling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begr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nse adgang til de rigtige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(m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ske) vedligeholde og udsende abonnementer MBK: 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Kontaktregister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applikationsservice</w:t>
      </w:r>
      <w:r>
        <w:rPr>
          <w:rtl w:val="0"/>
          <w:lang w:val="da-DK"/>
        </w:rPr>
        <w:t xml:space="preserve"> som er en slags data service med en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rlig type oplysninger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Log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applikationsservice</w:t>
      </w:r>
      <w:r>
        <w:rPr>
          <w:rtl w:val="0"/>
          <w:lang w:val="da-DK"/>
        </w:rPr>
        <w:t xml:space="preserve"> som er en slags data service med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rlige oplysninger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Indeks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applikationsservice</w:t>
      </w:r>
      <w:r>
        <w:rPr>
          <w:rtl w:val="0"/>
          <w:lang w:val="da-DK"/>
        </w:rPr>
        <w:t xml:space="preserve"> som er en slags data service med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rlige oplysninger. Kan undv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res, men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kraftig bekostning af effektivitet i bestemte situationer.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Katalog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applikationsservice</w:t>
      </w:r>
      <w:r>
        <w:rPr>
          <w:rtl w:val="0"/>
          <w:lang w:val="da-DK"/>
        </w:rPr>
        <w:t xml:space="preserve"> som ikke er en dataservice, fordi der ikke er begr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nset adgang. Kan undv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res, men ikke effektivt.</w:t>
      </w:r>
    </w:p>
    <w:p>
      <w:pPr>
        <w:pStyle w:val="First Paragraph"/>
        <w:rPr>
          <w:shd w:val="clear" w:color="auto" w:fill="ffff00"/>
          <w:lang w:val="da-DK"/>
        </w:rPr>
      </w:pPr>
      <w:r>
        <w:rPr>
          <w:shd w:val="clear" w:color="auto" w:fill="ffff00"/>
          <w:rtl w:val="0"/>
          <w:lang w:val="da-DK"/>
        </w:rPr>
        <w:t>&lt;MBK: Forst</w:t>
      </w:r>
      <w:r>
        <w:rPr>
          <w:shd w:val="clear" w:color="auto" w:fill="ffff00"/>
          <w:rtl w:val="0"/>
          <w:lang w:val="da-DK"/>
        </w:rPr>
        <w:t>å</w:t>
      </w:r>
      <w:r>
        <w:rPr>
          <w:shd w:val="clear" w:color="auto" w:fill="ffff00"/>
          <w:rtl w:val="0"/>
          <w:lang w:val="da-DK"/>
        </w:rPr>
        <w:t>r ikke denne defintion. For mig er hverken et katalog eller en dataservice defineret ved adgangsrettigheder. Et katalog skal fx ogs</w:t>
      </w:r>
      <w:r>
        <w:rPr>
          <w:shd w:val="clear" w:color="auto" w:fill="ffff00"/>
          <w:rtl w:val="0"/>
          <w:lang w:val="da-DK"/>
        </w:rPr>
        <w:t xml:space="preserve">å </w:t>
      </w:r>
      <w:r>
        <w:rPr>
          <w:shd w:val="clear" w:color="auto" w:fill="ffff00"/>
          <w:rtl w:val="0"/>
          <w:lang w:val="da-DK"/>
        </w:rPr>
        <w:t>kunne begr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nse adgang og en dataservice skal ogs</w:t>
      </w:r>
      <w:r>
        <w:rPr>
          <w:shd w:val="clear" w:color="auto" w:fill="ffff00"/>
          <w:rtl w:val="0"/>
          <w:lang w:val="da-DK"/>
        </w:rPr>
        <w:t xml:space="preserve">å </w:t>
      </w:r>
      <w:r>
        <w:rPr>
          <w:shd w:val="clear" w:color="auto" w:fill="ffff00"/>
          <w:rtl w:val="0"/>
          <w:lang w:val="da-DK"/>
        </w:rPr>
        <w:t>kunne tilbyde adgang til l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s . s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 xml:space="preserve">g, hent / download uden login hvis der er tale om </w:t>
      </w:r>
      <w:r>
        <w:rPr>
          <w:shd w:val="clear" w:color="auto" w:fill="ffff00"/>
          <w:rtl w:val="0"/>
          <w:lang w:val="da-DK"/>
        </w:rPr>
        <w:t>å</w:t>
      </w:r>
      <w:r>
        <w:rPr>
          <w:shd w:val="clear" w:color="auto" w:fill="ffff00"/>
          <w:rtl w:val="0"/>
          <w:lang w:val="da-DK"/>
        </w:rPr>
        <w:t>bne data uden rettighedsbegr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>nsninger.&gt;</w:t>
      </w:r>
    </w:p>
    <w:p>
      <w:pPr>
        <w:pStyle w:val="Body Text"/>
        <w:rPr>
          <w:shd w:val="clear" w:color="auto" w:fill="ffff00"/>
          <w:lang w:val="da-DK"/>
        </w:rPr>
      </w:pPr>
      <w:r>
        <w:rPr>
          <w:shd w:val="clear" w:color="auto" w:fill="ffff00"/>
          <w:rtl w:val="0"/>
          <w:lang w:val="da-DK"/>
        </w:rPr>
        <w:t>&lt;MBK: Savner byggeblokke som fx Klassifikationsservices (b</w:t>
      </w:r>
      <w:r>
        <w:rPr>
          <w:shd w:val="clear" w:color="auto" w:fill="ffff00"/>
          <w:rtl w:val="0"/>
          <w:lang w:val="da-DK"/>
        </w:rPr>
        <w:t>å</w:t>
      </w:r>
      <w:r>
        <w:rPr>
          <w:shd w:val="clear" w:color="auto" w:fill="ffff00"/>
          <w:rtl w:val="0"/>
          <w:lang w:val="da-DK"/>
        </w:rPr>
        <w:t>de udstille klassifikationer og mapninger), Serviceregister, Systemkatalog, datakatalog, Modelkatalog.&gt;</w:t>
      </w:r>
    </w:p>
    <w:p>
      <w:pPr>
        <w:pStyle w:val="Body Text"/>
        <w:rPr>
          <w:lang w:val="da-DK"/>
        </w:rPr>
      </w:pPr>
      <w:r>
        <w:rPr>
          <w:shd w:val="clear" w:color="auto" w:fill="ffff00"/>
          <w:rtl w:val="0"/>
          <w:lang w:val="da-DK"/>
        </w:rPr>
        <w:t xml:space="preserve"> &lt;MBK: Det mener jeg er et must, jf hele open data agendaen&gt;</w:t>
      </w:r>
    </w:p>
    <w:p>
      <w:pPr>
        <w:pStyle w:val="Overskrift 2"/>
        <w:numPr>
          <w:ilvl w:val="1"/>
          <w:numId w:val="16"/>
        </w:numPr>
      </w:pPr>
      <w:bookmarkStart w:name="tekniskeimplementeringer" w:id="30"/>
      <w:bookmarkEnd w:id="30"/>
      <w:r>
        <w:rPr>
          <w:rtl w:val="0"/>
          <w:lang w:val="da-DK"/>
        </w:rPr>
        <w:t>T</w:t>
      </w:r>
      <w:r>
        <w:rPr>
          <w:rtl w:val="0"/>
          <w:lang w:val="da-DK"/>
        </w:rPr>
        <w:t>ekniske Implementeringer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Her grupperes de enkelte roller og applikationsroller jf. forskellige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nstre.</w:t>
      </w:r>
    </w:p>
    <w:p>
      <w:pPr>
        <w:pStyle w:val="Overskrift 3"/>
        <w:numPr>
          <w:ilvl w:val="2"/>
          <w:numId w:val="2"/>
        </w:numPr>
      </w:pPr>
      <w:bookmarkStart w:name="anvendelseafudstillededata" w:id="31"/>
      <w:bookmarkEnd w:id="31"/>
      <w:r>
        <w:rPr>
          <w:rtl w:val="0"/>
          <w:lang w:val="da-DK"/>
        </w:rPr>
        <w:t>A</w:t>
      </w:r>
      <w:r>
        <w:rPr>
          <w:rtl w:val="0"/>
          <w:lang w:val="da-DK"/>
        </w:rPr>
        <w:t>nvendelse af udstillede data</w:t>
      </w:r>
    </w:p>
    <w:p>
      <w:pPr>
        <w:pStyle w:val="First Paragraph"/>
      </w:pPr>
      <w:r>
        <w:rPr>
          <w:rtl w:val="0"/>
          <w:lang w:val="da-DK"/>
        </w:rPr>
        <w:t>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r en dataanvender (virksomhed eller myndighed) vil have adgang til data hos en dataejende myndighed, kan det ske via </w:t>
      </w:r>
      <w:r>
        <w:rPr>
          <w:rtl w:val="0"/>
          <w:lang w:val="da-DK"/>
        </w:rPr>
        <w:t>é</w:t>
      </w:r>
      <w:r>
        <w:rPr>
          <w:rtl w:val="0"/>
          <w:lang w:val="da-DK"/>
        </w:rPr>
        <w:t>t af nedenst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ende tre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nstre: </w:t>
      </w:r>
      <w:r>
        <w:rPr>
          <w:shd w:val="clear" w:color="auto" w:fill="ffff00"/>
          <w:rtl w:val="0"/>
          <w:lang w:val="da-DK"/>
        </w:rPr>
        <w:t xml:space="preserve">&lt;TODO: Overvej samtykker ift. </w:t>
      </w:r>
      <w:r>
        <w:rPr>
          <w:shd w:val="clear" w:color="auto" w:fill="ffff00"/>
          <w:rtl w:val="0"/>
          <w:lang w:val="en-US"/>
        </w:rPr>
        <w:t>Virksomhed&gt; &lt;TODO: Overvej H</w:t>
      </w:r>
      <w:r>
        <w:rPr>
          <w:shd w:val="clear" w:color="auto" w:fill="ffff00"/>
          <w:rtl w:val="0"/>
          <w:lang w:val="en-US"/>
        </w:rPr>
        <w:t>æ</w:t>
      </w:r>
      <w:r>
        <w:rPr>
          <w:shd w:val="clear" w:color="auto" w:fill="ffff00"/>
          <w:rtl w:val="0"/>
          <w:lang w:val="en-US"/>
        </w:rPr>
        <w:t>ndelser&gt;</w:t>
      </w:r>
    </w:p>
    <w:p>
      <w:pPr>
        <w:pStyle w:val="heading 4"/>
      </w:pPr>
      <w:bookmarkStart w:name="direkteadgang" w:id="32"/>
      <w:bookmarkEnd w:id="32"/>
      <w:r>
        <w:rPr>
          <w:rtl w:val="0"/>
        </w:rPr>
        <w:t>D</w:t>
      </w:r>
      <w:r>
        <w:rPr>
          <w:rtl w:val="0"/>
        </w:rPr>
        <w:t>irekte adgang</w:t>
      </w:r>
    </w:p>
    <w:p>
      <w:pPr>
        <w:pStyle w:val="Figure with Caption"/>
      </w:pPr>
      <w:r>
        <w:drawing>
          <wp:inline distT="0" distB="0" distL="0" distR="0">
            <wp:extent cx="5334000" cy="2540000"/>
            <wp:effectExtent l="0" t="0" r="0" b="0"/>
            <wp:docPr id="1073741830" name="officeArt object" descr="Implementeringsmønster for service enablede regist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plementeringsmønster for service enablede registre" descr="Implementeringsmønster for service enablede registr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shd w:val="clear" w:color="auto" w:fill="ffff00"/>
          <w:rtl w:val="0"/>
          <w:lang w:val="da-DK"/>
        </w:rPr>
        <w:t>Implementeringsm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nster for service enablede registre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I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nster, som er simpelt og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ske det mest klassiske, er det Dataejer, der selv udstiller data til de mulige anvendere via en service-orienteret arkitektur. Dataejer er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ansvarlig for at betjene Datasubjektets foresp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rgsler om Dataejerens brug af personlige data.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Fordelen ved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er, at det er simpelt. Ulempen er, at Dataejer kommer til at b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hele udgiften ved at stille data bredt til 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dighed.</w:t>
      </w:r>
    </w:p>
    <w:p>
      <w:pPr>
        <w:pStyle w:val="heading 4"/>
      </w:pPr>
      <w:bookmarkStart w:name="datadistribution" w:id="33"/>
      <w:bookmarkEnd w:id="33"/>
      <w:r>
        <w:rPr>
          <w:rtl w:val="0"/>
        </w:rPr>
        <w:t>D</w:t>
      </w:r>
      <w:r>
        <w:rPr>
          <w:rtl w:val="0"/>
        </w:rPr>
        <w:t>atadistribution</w:t>
      </w:r>
    </w:p>
    <w:p>
      <w:pPr>
        <w:pStyle w:val="Figure with Caption"/>
      </w:pPr>
      <w:r>
        <w:drawing>
          <wp:inline distT="0" distB="0" distL="0" distR="0">
            <wp:extent cx="5334000" cy="2742535"/>
            <wp:effectExtent l="0" t="0" r="0" b="0"/>
            <wp:docPr id="1073741831" name="officeArt object" descr="Implementeringsmønster for datadistribu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plementeringsmønster for datadistribution" descr="Implementeringsmønster for datadistribution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42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Implementeringsm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for datadistribution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I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er Dataejer fortsat ansvarlig for registrering af data. Anvendelsesdelen er imidlertid afl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ftet til en Datadistribut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(evt. flere). Dette giver Datadistribut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ren mulighed for at fokusere netop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distributionen, dvs. at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data bredt tilg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ngeligt (dog naturligvis under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velse af adgangskrav specificeret af Dataejer) til Dataanvendere.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nye data registreres, er Dataejer ansvarlig for at opdatere Datasamlingen hos Datadistribut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ren.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Logningsm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ssigt er den enkelte Datadistribut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ansvarlig for at logge Dataanvenders adgang til data. Samtidig er den enkelte Distribut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ansvarlig for at s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rge for konsolidering af loggen. I figuren er log-konsolidering lagt hos Dataejer, men den kunne i princippet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uddelegeret - 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nge, der er et entydigt og klart SPOC for Datasubjektets opslag i anvendelsen af personlige data.</w:t>
      </w:r>
    </w:p>
    <w:p>
      <w:pPr>
        <w:pStyle w:val="heading 4"/>
      </w:pPr>
      <w:bookmarkStart w:name="distribueretserviceogdataplatform" w:id="34"/>
      <w:bookmarkEnd w:id="34"/>
      <w:r>
        <w:rPr>
          <w:rtl w:val="0"/>
        </w:rPr>
        <w:t>D</w:t>
      </w:r>
      <w:r>
        <w:rPr>
          <w:rtl w:val="0"/>
        </w:rPr>
        <w:t>istribueret service- og data-platform</w:t>
      </w:r>
    </w:p>
    <w:p>
      <w:pPr>
        <w:pStyle w:val="Figure with Caption"/>
      </w:pPr>
      <w:r>
        <w:drawing>
          <wp:inline distT="0" distB="0" distL="0" distR="0">
            <wp:extent cx="5334000" cy="2941634"/>
            <wp:effectExtent l="0" t="0" r="0" b="0"/>
            <wp:docPr id="1073741832" name="officeArt object" descr="Implementeringsmønster for distribueret dataplatf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plementeringsmønster for distribueret dataplatform" descr="Implementeringsmønster for distribueret dataplatform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1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Implementeringsm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for distribueret dataplatform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Delingsansvaret er i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i h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j grad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ndteret af en Dataplatform. Platformen er distribueret og er i stand til at replikere data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tv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rs af Dataejer og Dataanvendere. Dvs., at data, der registreres via Dataejer,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res tilg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ngelige hos Dataanvender af platformen.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Da Dataplatformen kan rumme data fra forskellige Dataejere, muligg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res effektiv sammenstiling af data hos Datanvenderen. Platformen er ansvarlig for at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ve adgangskontrol, og eventuelle services hos Dataanvender, der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brug af data, er ansvarlige for at logge deres brug. Platformen konsoliderer brugs-loggen, og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det muligt for Datasubjekt at f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overblik over brug af personlige data.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Fordelen ved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er den umiddelbare og standardiserede tilg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nglighed til data, som en Dataplatform kan levere. Ulempen er, at kompleksiteten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ges, samt at der stilles 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rre krav til Datanvenders modenhed ift. den tekniske adgang til data (da Dataanvenders applikationer i praksis vil skulle afvikles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den distribuerede Service- og Dataplatform).</w:t>
      </w:r>
    </w:p>
    <w:p>
      <w:pPr>
        <w:pStyle w:val="Body Text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(Uafklaret: Skal Dataanvenders applikationer/services have direkte adgang til distribuerede data, eller skal adgang fortsat ske via et servicesnit, der kan varetage adgangskontol m.m.?)</w:t>
      </w:r>
    </w:p>
    <w:p>
      <w:pPr>
        <w:pStyle w:val="Overskrift 3"/>
        <w:numPr>
          <w:ilvl w:val="2"/>
          <w:numId w:val="2"/>
        </w:numPr>
      </w:pPr>
      <w:bookmarkStart w:name="forsendelseafmeddelelse" w:id="35"/>
      <w:bookmarkEnd w:id="35"/>
      <w:r>
        <w:rPr>
          <w:rtl w:val="0"/>
          <w:lang w:val="da-DK"/>
        </w:rPr>
        <w:t>F</w:t>
      </w:r>
      <w:r>
        <w:rPr>
          <w:rtl w:val="0"/>
          <w:lang w:val="da-DK"/>
        </w:rPr>
        <w:t>orsendelse af meddelelse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N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r en myndighed vil initiere en specifik og m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 xml:space="preserve">lrettet datadeling - dvs. sende data (herunder dokumenter) til en anden myndighed, virksomhed eller borger - kan det ske via </w:t>
      </w:r>
      <w:r>
        <w:rPr>
          <w:rtl w:val="0"/>
          <w:lang w:val="da-DK"/>
        </w:rPr>
        <w:t>é</w:t>
      </w:r>
      <w:r>
        <w:rPr>
          <w:rtl w:val="0"/>
          <w:lang w:val="da-DK"/>
        </w:rPr>
        <w:t>t af de tre nedenst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ende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nstre.</w:t>
      </w:r>
    </w:p>
    <w:p>
      <w:pPr>
        <w:pStyle w:val="heading 4"/>
      </w:pPr>
      <w:bookmarkStart w:name="sikkeremail" w:id="36"/>
      <w:bookmarkEnd w:id="36"/>
      <w:r>
        <w:rPr>
          <w:rtl w:val="0"/>
        </w:rPr>
        <w:t>S</w:t>
      </w:r>
      <w:r>
        <w:rPr>
          <w:rtl w:val="0"/>
        </w:rPr>
        <w:t>ikker e-mail</w:t>
      </w:r>
    </w:p>
    <w:p>
      <w:pPr>
        <w:pStyle w:val="Figure with Caption"/>
      </w:pPr>
      <w:r>
        <w:drawing>
          <wp:inline distT="0" distB="0" distL="0" distR="0">
            <wp:extent cx="5334000" cy="1940718"/>
            <wp:effectExtent l="0" t="0" r="0" b="0"/>
            <wp:docPr id="1073741833" name="officeArt object" descr="Implementeringsmønster for e-mai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plementeringsmønster for e-mail" descr="Implementeringsmønster for e-mail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40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Implementeringsm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for e-mail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Et meget anvendt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for myndighed til myndighed-kommunikation er at levere en Meddelelse fra Afsender til Modtager ved brug af sikker e-mail. Det falder uden for dette dokuments scope at beskrive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yderligere, men det er medtaget her for reference. Det er endvidere oplagt at betragte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som et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rtilf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lde af det generelle 'Service provider'-m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nedenfor.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Fordelen ved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er, at det er simpelt og benytter sig af standardteknologi. Ulempen er, at det kun d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kker myndighed til myndighed-kommunikation. Derudover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tter standardteknologien (e-mail) visse begr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nsninger for funktionalitet, der fx underst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tter automatisk routing af beskeder hos modtageren i det tilf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lde, hvor Meddelelsen ikke har </w:t>
      </w:r>
      <w:r>
        <w:rPr>
          <w:rtl w:val="0"/>
          <w:lang w:val="da-DK"/>
        </w:rPr>
        <w:t>é</w:t>
      </w:r>
      <w:r>
        <w:rPr>
          <w:rtl w:val="0"/>
          <w:lang w:val="da-DK"/>
        </w:rPr>
        <w:t>n specifik modtager.</w:t>
      </w:r>
    </w:p>
    <w:p>
      <w:pPr>
        <w:pStyle w:val="Body Text"/>
      </w:pPr>
      <w:r>
        <w:rPr>
          <w:shd w:val="clear" w:color="auto" w:fill="ffff00"/>
          <w:rtl w:val="0"/>
          <w:lang w:val="da-DK"/>
        </w:rPr>
        <w:t>&lt;MBK: Dette mener jeg vi b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r fors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ge at l</w:t>
      </w:r>
      <w:r>
        <w:rPr>
          <w:shd w:val="clear" w:color="auto" w:fill="ffff00"/>
          <w:rtl w:val="0"/>
          <w:lang w:val="da-DK"/>
        </w:rPr>
        <w:t>æ</w:t>
      </w:r>
      <w:r>
        <w:rPr>
          <w:shd w:val="clear" w:color="auto" w:fill="ffff00"/>
          <w:rtl w:val="0"/>
          <w:lang w:val="da-DK"/>
        </w:rPr>
        <w:t xml:space="preserve">gge uden for scope ifht at deling er vores hoedfokus. </w:t>
      </w:r>
      <w:r>
        <w:rPr>
          <w:shd w:val="clear" w:color="auto" w:fill="ffff00"/>
          <w:rtl w:val="0"/>
          <w:lang w:val="en-US"/>
        </w:rPr>
        <w:t>AF: DONE&gt;</w:t>
      </w:r>
    </w:p>
    <w:p>
      <w:pPr>
        <w:pStyle w:val="heading 4"/>
      </w:pPr>
      <w:bookmarkStart w:name="fællessystem" w:id="37"/>
      <w:bookmarkEnd w:id="37"/>
      <w:r>
        <w:rPr>
          <w:rtl w:val="0"/>
        </w:rPr>
        <w:t>F</w:t>
      </w:r>
      <w:r>
        <w:rPr>
          <w:rtl w:val="0"/>
        </w:rPr>
        <w:t>æ</w:t>
      </w:r>
      <w:r>
        <w:rPr>
          <w:rtl w:val="0"/>
        </w:rPr>
        <w:t>lles system</w:t>
      </w:r>
    </w:p>
    <w:p>
      <w:pPr>
        <w:pStyle w:val="Figure with Caption"/>
      </w:pPr>
      <w:r>
        <w:drawing>
          <wp:inline distT="0" distB="0" distL="0" distR="0">
            <wp:extent cx="5334000" cy="1940718"/>
            <wp:effectExtent l="0" t="0" r="0" b="0"/>
            <wp:docPr id="1073741834" name="officeArt object" descr="Implementeringsmønster for fælles applik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plementeringsmønster for fælles applikation" descr="Implementeringsmønster for fælles applikation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40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Implementeringsm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for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applikation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Ved brug af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system-m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nsteret til Forsendelse af en Meddelelse benytter Afsender og Modtager et centralt,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system til hhv. at placere Meddelelsen og 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se den. I den analoge verden svarer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til, at Afsender og Modtager benytter et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postbokskontor. Digitalt er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fx implementeret af e-Boks, hvor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vel myndigheder, virksomheder og borgere kan placere Meddelelser, der efterf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lgende kan hentes af Modtager.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messaging-funktionaliteten i mange af de sociale medieplatforme (fx Facebook) falder i denne kategori.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TIl forskel fra Sikker e-mail-m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nsteret ovenfor er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system-m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nsteret mere robust,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da Forsendelsesservicen tilbyder opslag/verifikation mod et Kontaktregister samt da Meddelelsen opbevares i infrastrukturen, indtil Modtager aktivt l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ser den - i mods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tning til Sikker e-mail, hvori infrastrukturen blot videresender Meddelelsen og dermed er afh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ngig af, at Modtageren i praksis findes.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Meddelelsesfunktionaliteten har endvidere mulighed for at tr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en Notifikationsservice, der kan tilbyde notifikationer til Modtager om den nye Meddelelse.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Et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system-m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kan fungere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mange niveauer, herunder nationalt (fx Digital Post); inden for et specifikt dom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ne, fx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sundhedsomr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det; eller rent bilateralt, hvor to organisationer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lger en Meddelelsesplatform og enes om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nster.</w:t>
      </w:r>
    </w:p>
    <w:p>
      <w:pPr>
        <w:pStyle w:val="heading 4"/>
      </w:pPr>
      <w:bookmarkStart w:name="økosystemserviceproviders" w:id="38"/>
      <w:bookmarkEnd w:id="38"/>
      <w:r>
        <w:rPr>
          <w:rtl w:val="0"/>
        </w:rPr>
        <w:t>Ø</w:t>
      </w:r>
      <w:r>
        <w:rPr>
          <w:rtl w:val="0"/>
        </w:rPr>
        <w:t>kosystem/Service providers</w:t>
      </w:r>
    </w:p>
    <w:p>
      <w:pPr>
        <w:pStyle w:val="Figure with Caption"/>
      </w:pPr>
      <w:r>
        <w:drawing>
          <wp:inline distT="0" distB="0" distL="0" distR="0">
            <wp:extent cx="5334000" cy="2021958"/>
            <wp:effectExtent l="0" t="0" r="0" b="0"/>
            <wp:docPr id="1073741835" name="officeArt object" descr="Implementeringsmønster for ecosyst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plementeringsmønster for ecosystem" descr="Implementeringsmønster for ecosystem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1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mage Caption"/>
        <w:rPr>
          <w:lang w:val="da-DK"/>
        </w:rPr>
      </w:pPr>
      <w:r>
        <w:rPr>
          <w:rtl w:val="0"/>
          <w:lang w:val="da-DK"/>
        </w:rPr>
        <w:t>Implementeringsm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for ecosystem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I dette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 deltager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Afsender (A) og Modtager (D) i et Meddelelses-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kosystem ved at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lge hver sin Forsendelses-Service provider (hhv. B og C).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kosystem-m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nsteret er bl.a. kendt i kontekst af den europ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iske eDelivery-standard som en 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four corner model</w:t>
      </w:r>
      <w:r>
        <w:rPr>
          <w:rtl w:val="0"/>
          <w:lang w:val="da-DK"/>
        </w:rPr>
        <w:t>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Et f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lles Kontaktregister udg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r en central komponent i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kosystemet, der 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 det muligt for alle parter at sl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den relevante information op. En Afsender kan via Kontaktregisteret se/verificere mulige modtagere, samt evt. afg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re hvilken konkrete Meddelelsesformater/kanaler, Modtager kan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ndtere. Forsendelsesservicen, der h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ndterer afsendelse af Meddelelsen, kan benytte Kontaktregisteret til at finde Modtagerens konkrete Service provider og bliver dermed i stand til at levere Meddelelsen.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>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nsteret vil typisk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symmetrisk, s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ledes at en Afsender ogs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kan indg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som Modtager og vice versa.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 xml:space="preserve">nsteret kan i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vrigt b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re generisk eller specifikt for et dom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ne, der fx kan stille ekstra krav til Meddelelsens format.</w:t>
      </w:r>
    </w:p>
    <w:p>
      <w:pPr>
        <w:pStyle w:val="Body Text"/>
        <w:rPr>
          <w:lang w:val="da-DK"/>
        </w:rPr>
      </w:pPr>
      <w:r>
        <w:rPr>
          <w:rtl w:val="0"/>
          <w:lang w:val="da-DK"/>
        </w:rPr>
        <w:t xml:space="preserve">Fordelene ved 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kosystem-m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nsteret er, at det er robust, fleksibelt og l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bende kan udvides med nye Service providers. Ulempen er, at der stilles store krav til det centrale Kontaktregister, samt at der fortsat ikke findes standardteknologier, der d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kker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nsteret.</w:t>
      </w:r>
    </w:p>
    <w:p>
      <w:pPr>
        <w:pStyle w:val="Overskrift 3"/>
        <w:numPr>
          <w:ilvl w:val="2"/>
          <w:numId w:val="2"/>
        </w:numPr>
      </w:pPr>
      <w:bookmarkStart w:name="registrering" w:id="39"/>
      <w:bookmarkEnd w:id="39"/>
      <w:r>
        <w:rPr>
          <w:rtl w:val="0"/>
          <w:lang w:val="da-DK"/>
        </w:rPr>
        <w:t>R</w:t>
      </w:r>
      <w:r>
        <w:rPr>
          <w:rtl w:val="0"/>
          <w:lang w:val="da-DK"/>
        </w:rPr>
        <w:t>egistrering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Registrering af data er ikke i scope for denne referencearkitektur, men medtages kort pga. sin v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 xml:space="preserve">sentlige relation til Index-konceptet. </w:t>
      </w:r>
      <w:r>
        <w:rPr>
          <w:shd w:val="clear" w:color="auto" w:fill="ffff00"/>
          <w:rtl w:val="0"/>
          <w:lang w:val="da-DK"/>
        </w:rPr>
        <w:t>[TODO: Hvor udfolder vi mere om m</w:t>
      </w:r>
      <w:r>
        <w:rPr>
          <w:shd w:val="clear" w:color="auto" w:fill="ffff00"/>
          <w:rtl w:val="0"/>
          <w:lang w:val="da-DK"/>
        </w:rPr>
        <w:t>ø</w:t>
      </w:r>
      <w:r>
        <w:rPr>
          <w:shd w:val="clear" w:color="auto" w:fill="ffff00"/>
          <w:rtl w:val="0"/>
          <w:lang w:val="da-DK"/>
        </w:rPr>
        <w:t>nstre, der anvender Index?]: x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Ansvar hos registrant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implementationsm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ø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nster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Ansvar hos dataejer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implementationsm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ø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nster</w:t>
      </w:r>
    </w:p>
    <w:p>
      <w:pPr>
        <w:pStyle w:val="Definition Term"/>
        <w:rPr>
          <w:lang w:val="da-DK"/>
        </w:rPr>
      </w:pPr>
      <w:r>
        <w:rPr>
          <w:rtl w:val="0"/>
          <w:lang w:val="da-DK"/>
        </w:rPr>
        <w:t>Ansvar hos distribut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r</w:t>
      </w:r>
    </w:p>
    <w:p>
      <w:pPr>
        <w:pStyle w:val="Definition"/>
        <w:rPr>
          <w:lang w:val="da-DK"/>
        </w:rPr>
      </w:pPr>
      <w:r>
        <w:rPr>
          <w:rFonts w:ascii="Cambria" w:cs="Cambria" w:hAnsi="Cambria" w:eastAsia="Cambria"/>
          <w:i w:val="1"/>
          <w:iCs w:val="1"/>
          <w:rtl w:val="0"/>
          <w:lang w:val="da-DK"/>
        </w:rPr>
        <w:t>implementationsm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ø</w:t>
      </w:r>
      <w:r>
        <w:rPr>
          <w:rFonts w:ascii="Cambria" w:cs="Cambria" w:hAnsi="Cambria" w:eastAsia="Cambria"/>
          <w:i w:val="1"/>
          <w:iCs w:val="1"/>
          <w:rtl w:val="0"/>
          <w:lang w:val="da-DK"/>
        </w:rPr>
        <w:t>nster</w:t>
      </w:r>
    </w:p>
    <w:p>
      <w:pPr>
        <w:pStyle w:val="Overskrift 2"/>
        <w:numPr>
          <w:ilvl w:val="1"/>
          <w:numId w:val="2"/>
        </w:numPr>
      </w:pPr>
      <w:bookmarkStart w:name="områderforstandardiseringprofileringer" w:id="40"/>
      <w:bookmarkEnd w:id="40"/>
      <w:r>
        <w:rPr>
          <w:rtl w:val="0"/>
          <w:lang w:val="da-DK"/>
        </w:rPr>
        <w:t>O</w:t>
      </w:r>
      <w:r>
        <w:rPr>
          <w:rtl w:val="0"/>
          <w:lang w:val="da-DK"/>
        </w:rPr>
        <w:t>mr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der for standardisering/profileringer</w:t>
      </w:r>
    </w:p>
    <w:p>
      <w:pPr>
        <w:pStyle w:val="First Paragraph"/>
        <w:rPr>
          <w:lang w:val="da-DK"/>
        </w:rPr>
      </w:pPr>
      <w:r>
        <w:rPr>
          <w:rtl w:val="0"/>
          <w:lang w:val="da-DK"/>
        </w:rPr>
        <w:t>Nedenst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ende, tekniske omr</w:t>
      </w:r>
      <w:r>
        <w:rPr>
          <w:rtl w:val="0"/>
          <w:lang w:val="da-DK"/>
        </w:rPr>
        <w:t>å</w:t>
      </w:r>
      <w:r>
        <w:rPr>
          <w:rtl w:val="0"/>
          <w:lang w:val="da-DK"/>
        </w:rPr>
        <w:t>der er kandidater til at indg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i referencearkitekturen i forhold til at pege p</w:t>
      </w:r>
      <w:r>
        <w:rPr>
          <w:rtl w:val="0"/>
          <w:lang w:val="da-DK"/>
        </w:rPr>
        <w:t xml:space="preserve">å </w:t>
      </w:r>
      <w:r>
        <w:rPr>
          <w:rtl w:val="0"/>
          <w:lang w:val="da-DK"/>
        </w:rPr>
        <w:t>en anbefalet standard eller en s</w:t>
      </w:r>
      <w:r>
        <w:rPr>
          <w:rtl w:val="0"/>
          <w:lang w:val="da-DK"/>
        </w:rPr>
        <w:t>æ</w:t>
      </w:r>
      <w:r>
        <w:rPr>
          <w:rtl w:val="0"/>
          <w:lang w:val="da-DK"/>
        </w:rPr>
        <w:t>rlig profilering, evt. vendt mod de enkelte, tekniske m</w:t>
      </w:r>
      <w:r>
        <w:rPr>
          <w:rtl w:val="0"/>
          <w:lang w:val="da-DK"/>
        </w:rPr>
        <w:t>ø</w:t>
      </w:r>
      <w:r>
        <w:rPr>
          <w:rtl w:val="0"/>
          <w:lang w:val="da-DK"/>
        </w:rPr>
        <w:t>nstre.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Service Design Guidelines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Access Protocols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Distribution Protocols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Synchronisation Protocols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Metadata for opslag/s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gning/anvendelse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Log format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Identifikation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Klassifikation af f</w:t>
      </w:r>
      <w:r>
        <w:rPr>
          <w:rtl w:val="0"/>
          <w:lang w:val="en-US"/>
        </w:rPr>
        <w:t>ø</w:t>
      </w:r>
      <w:r>
        <w:rPr>
          <w:rtl w:val="0"/>
          <w:lang w:val="en-US"/>
        </w:rPr>
        <w:t>lsomhed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Klassifikation af anvendelse (sagsbehandling vs analyse)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</w:t>
      </w:r>
      <w:r>
        <w:rPr>
          <w:rtl w:val="0"/>
          <w:lang w:val="en-US"/>
        </w:rPr>
        <w:t>æ</w:t>
      </w:r>
      <w:r>
        <w:rPr>
          <w:rtl w:val="0"/>
          <w:lang w:val="en-US"/>
        </w:rPr>
        <w:t>ndelsesbeskeder</w:t>
      </w:r>
    </w:p>
    <w:p>
      <w:pPr>
        <w:pStyle w:val="Compact"/>
        <w:numPr>
          <w:ilvl w:val="0"/>
          <w:numId w:val="4"/>
        </w:numPr>
        <w:bidi w:val="0"/>
        <w:ind w:right="0"/>
        <w:jc w:val="left"/>
        <w:rPr>
          <w:rtl w:val="0"/>
          <w:lang w:val="da-DK"/>
        </w:rPr>
      </w:pPr>
      <w:r>
        <w:rPr>
          <w:rtl w:val="0"/>
          <w:lang w:val="da-DK"/>
        </w:rPr>
        <w:t>Protokol for flytning af filer, kryptering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Hjemmel (samtykke, lov)</w:t>
      </w:r>
    </w:p>
    <w:p>
      <w:pPr>
        <w:pStyle w:val="Compact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Context</w:t>
      </w:r>
    </w:p>
    <w:p>
      <w:pPr>
        <w:pStyle w:val="Overskrift 2"/>
        <w:numPr>
          <w:ilvl w:val="1"/>
          <w:numId w:val="17"/>
        </w:numPr>
      </w:pPr>
      <w:bookmarkStart w:name="identifikationafeksisterendestandarde" w:id="41"/>
      <w:bookmarkEnd w:id="41"/>
      <w:r>
        <w:rPr>
          <w:rtl w:val="0"/>
        </w:rPr>
        <w:t>I</w:t>
      </w:r>
      <w:r>
        <w:rPr>
          <w:rtl w:val="0"/>
          <w:lang w:val="da-DK"/>
        </w:rPr>
        <w:t>dentifikation af eksisterende standarder</w:t>
      </w:r>
    </w:p>
    <w:p>
      <w:pPr>
        <w:pStyle w:val="First Paragraph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TBU.</w:t>
      </w:r>
    </w:p>
    <w:sectPr>
      <w:headerReference w:type="default" r:id="rId15"/>
      <w:footerReference w:type="default" r:id="rId16"/>
      <w:pgSz w:w="12240" w:h="15840" w:orient="portrait"/>
      <w:pgMar w:top="1440" w:right="1440" w:bottom="1440" w:left="144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5" w:author="Anders Fausbøll" w:date="2017-10-02T22:40:00Z">
    <w:p w14:paraId="1111FFFF">
      <w:pPr>
        <w:pStyle w:val="Standard"/>
        <w:bidi w:val="0"/>
      </w:pPr>
    </w:p>
    <w:p w14:paraId="11120000">
      <w:pPr>
        <w:pStyle w:val="Standard"/>
        <w:bidi w:val="0"/>
      </w:pPr>
      <w:r>
        <w:rPr>
          <w:rFonts w:cs="Arial Unicode MS" w:eastAsia="Arial Unicode MS"/>
          <w:rtl w:val="0"/>
        </w:rPr>
        <w:t>Format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F multiheadings"/>
  </w:abstractNum>
  <w:abstractNum w:abstractNumId="1">
    <w:multiLevelType w:val="hybridMultilevel"/>
    <w:styleLink w:val="AF multiheading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(%4)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1.%2.%3.(%4)(%5)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1.%2.%3.(%4)(%5)(%6)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(%4)(%5)(%6)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1.%2.%3.(%4)(%5)(%6)%7.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1.%2.%3.(%4)(%5)(%6)%7.%8.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ret format 1"/>
  </w:abstractNum>
  <w:abstractNum w:abstractNumId="3">
    <w:multiLevelType w:val="hybridMultilevel"/>
    <w:styleLink w:val="Importeret format 1"/>
    <w:lvl w:ilvl="0">
      <w:start w:val="1"/>
      <w:numFmt w:val="bullet"/>
      <w:suff w:val="tab"/>
      <w:lvlText w:val="•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1">
      <w:startOverride w:val="2"/>
    </w:lvlOverride>
  </w:num>
  <w:num w:numId="6">
    <w:abstractNumId w:val="0"/>
    <w:lvlOverride w:ilvl="1">
      <w:startOverride w:val="3"/>
    </w:lvlOverride>
  </w:num>
  <w:num w:numId="7">
    <w:abstractNumId w:val="0"/>
    <w:lvlOverride w:ilvl="1">
      <w:startOverride w:val="5"/>
    </w:lvlOverride>
  </w:num>
  <w:num w:numId="8">
    <w:abstractNumId w:val="0"/>
    <w:lvlOverride w:ilvl="0">
      <w:startOverride w:val="3"/>
    </w:lvlOverride>
  </w:num>
  <w:num w:numId="9">
    <w:abstractNumId w:val="0"/>
    <w:lvlOverride w:ilvl="1">
      <w:startOverride w:val="2"/>
    </w:lvlOverride>
  </w:num>
  <w:num w:numId="10">
    <w:abstractNumId w:val="0"/>
    <w:lvlOverride w:ilvl="1">
      <w:startOverride w:val="3"/>
    </w:lvlOverride>
  </w:num>
  <w:num w:numId="11">
    <w:abstractNumId w:val="0"/>
    <w:lvlOverride w:ilvl="0">
      <w:startOverride w:val="4"/>
    </w:lvlOverride>
  </w:num>
  <w:num w:numId="12">
    <w:abstractNumId w:val="0"/>
    <w:lvlOverride w:ilvl="2">
      <w:startOverride w:val="2"/>
    </w:lvlOverride>
  </w:num>
  <w:num w:numId="13">
    <w:abstractNumId w:val="0"/>
    <w:lvlOverride w:ilvl="1">
      <w:startOverride w:val="4"/>
    </w:lvlOverride>
  </w:num>
  <w:num w:numId="14">
    <w:abstractNumId w:val="0"/>
    <w:lvlOverride w:ilvl="1">
      <w:startOverride w:val="5"/>
    </w:lvlOverride>
  </w:num>
  <w:num w:numId="15">
    <w:abstractNumId w:val="0"/>
    <w:lvlOverride w:ilvl="0">
      <w:startOverride w:val="5"/>
    </w:lvlOverride>
  </w:num>
  <w:num w:numId="16">
    <w:abstractNumId w:val="0"/>
    <w:lvlOverride w:ilvl="1">
      <w:startOverride w:val="2"/>
    </w:lvlOverride>
  </w:num>
  <w:num w:numId="17">
    <w:abstractNumId w:val="0"/>
    <w:lvlOverride w:ilvl="1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24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6"/>
      <w:szCs w:val="36"/>
      <w:u w:val="none" w:color="345a8a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Overskrift">
    <w:name w:val="Overskrift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vertAlign w:val="baseline"/>
    </w:rPr>
  </w:style>
  <w:style w:type="numbering" w:styleId="AF multiheadings">
    <w:name w:val="AF multiheadings"/>
    <w:pPr>
      <w:numPr>
        <w:numId w:val="1"/>
      </w:numPr>
    </w:pPr>
  </w:style>
  <w:style w:type="paragraph" w:styleId="Overskrift 2">
    <w:name w:val="Overskrift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ret format 1">
    <w:name w:val="Importeret format 1"/>
    <w:pPr>
      <w:numPr>
        <w:numId w:val="3"/>
      </w:numPr>
    </w:p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inition Term">
    <w:name w:val="Definition Term"/>
    <w:next w:val="Definition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inition">
    <w:name w:val="Definition"/>
    <w:next w:val="Defini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lock Text">
    <w:name w:val="Block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Figure with Caption">
    <w:name w:val="Figure with Caption"/>
    <w:next w:val="Figure with Caption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Overskrift 3">
    <w:name w:val="Overskrift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vertAlign w:val="baseline"/>
    </w:rPr>
  </w:style>
  <w:style w:type="paragraph" w:styleId="heading 4">
    <w:name w:val="heading 4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comments" Target="comments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