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1F4E79"/>
          <w:sz w:val="40"/>
        </w:rPr>
        <w:t>AIA Agent Chatbot 工作流程说明书</w:t>
      </w:r>
    </w:p>
    <w:p>
      <w:pPr>
        <w:spacing w:after="240"/>
      </w:pPr>
      <w:r>
        <w:rPr>
          <w:rFonts w:ascii="Arial" w:hAnsi="Arial" w:eastAsia="Microsoft YaHei"/>
          <w:b w:val="0"/>
          <w:color w:val="595959"/>
          <w:sz w:val="21"/>
        </w:rPr>
        <w:t>根据原始“友邦”流程材料整理；保留原有业务规则、术语与示例，并按实际执行顺序重组。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1. 文档目的与范围</w:t>
      </w:r>
    </w:p>
    <w:p>
      <w:pPr>
        <w:spacing w:after="60" w:line="293" w:lineRule="auto"/>
        <w:ind w:left="0"/>
      </w:pPr>
      <w:r>
        <w:rPr>
          <w:rFonts w:ascii="Arial" w:hAnsi="Arial" w:eastAsia="Microsoft YaHei"/>
          <w:b w:val="0"/>
          <w:sz w:val="21"/>
        </w:rPr>
        <w:t>本文件描述 AIA Agent Chatbot 的端到端工作流，包括用户咨询、意图路由、子机器人问答、知识库检索、Fallback、人工转接、CRM Case 创建与关闭。</w:t>
      </w:r>
    </w:p>
    <w:p>
      <w:pPr>
        <w:spacing w:after="60" w:line="293" w:lineRule="auto"/>
        <w:ind w:left="0"/>
      </w:pPr>
      <w:r>
        <w:rPr>
          <w:rFonts w:ascii="Arial" w:hAnsi="Arial" w:eastAsia="Microsoft YaHei"/>
          <w:b w:val="0"/>
          <w:sz w:val="21"/>
        </w:rPr>
        <w:t>说明：原始材料中的“Plain Text”“---”“...”多为白板/界面标记或分隔符，已改为清晰的正文结构；业务含义、条件、示例与字段均予保留。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2. 整体架构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4D0"/>
          <w:left w:val="single" w:sz="6" w:color="B7C4D0"/>
          <w:bottom w:val="single" w:sz="6" w:color="B7C4D0"/>
          <w:right w:val="single" w:sz="6" w:color="B7C4D0"/>
          <w:insideH w:val="single" w:sz="6" w:color="B7C4D0"/>
          <w:insideV w:val="single" w:sz="6" w:color="B7C4D0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主要覆盖内容 / 数据来源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User (Agent)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打开 Chat Widget、提问、评分、选择人工服务主题、补充资料。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7×24 小时可访问 Chat Widget。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Main Bot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接收问题、发送欢迎语、识别意图、路由 Sub Bot、回复用户、控制转人工、创建 CRM Case。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Intent Routing；Fallback；Live Chat / Open Case 分流。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Orchestrator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执行用户意图编排与领域判断。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判断问题属于 Operations/Servicing 或 Agency。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Sub Bot 1 - Operations/Servicing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处理保单服务问题并返回答案。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Claim、Payment、Policy、POS、Autopay；FAQ、KB、API。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Sub Bot 2 - Agency AI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处理代理人业务问题并返回答案。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AIA ONE、iRecruit、MDRT、Product、Competition、Secretary Topics。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KMS / Knowledge Base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提供问答检索基础。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FAQ、KB Document、API；ADP KB、DS KB、AGM KB、MKT KB、Health KB 等。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Omnichannel / CRM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承接人工队列、人工聊天，以及 Open/Closed Case 记录。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Chat History、User Information、Context、Case 字段与邮件通知。</w:t>
            </w:r>
          </w:p>
        </w:tc>
      </w:tr>
    </w:tbl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3. 端到端流程概览</w:t>
      </w:r>
    </w:p>
    <w:p>
      <w:pPr>
        <w:spacing w:after="60" w:line="293" w:lineRule="auto"/>
        <w:ind w:left="0"/>
      </w:pPr>
      <w:r>
        <w:rPr>
          <w:rFonts w:ascii="Arial" w:hAnsi="Arial" w:eastAsia="Microsoft YaHei"/>
          <w:b w:val="0"/>
          <w:sz w:val="21"/>
        </w:rPr>
        <w:t>用户打开 Chat Widget后，Main Bot 发送欢迎语并接收问题。Orchestrator 根据意图将问题路由至 Operations/Servicing 或 Agency AI 子机器人；子机器人从相应知识来源检索并返回答案。</w:t>
      </w:r>
    </w:p>
    <w:p>
      <w:pPr>
        <w:spacing w:after="60" w:line="293" w:lineRule="auto"/>
        <w:ind w:left="0"/>
      </w:pPr>
      <w:r>
        <w:rPr>
          <w:rFonts w:ascii="Arial" w:hAnsi="Arial" w:eastAsia="Microsoft YaHei"/>
          <w:b w:val="0"/>
          <w:sz w:val="21"/>
        </w:rPr>
        <w:t>若无法回答，则返回 Fallback/default answer；当满足连续 Fallback、用户主动联系人工、点踩或负面情绪等条件时，进入人工服务分流。人工服务根据主题、Live Chat 范围、工作时间及是否允许 Open Case，分别进入 Omnichannel、提供联系信息、创建 Open Case 或返回固定文案。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4. 第一阶段：用户进入聊天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Step 1：用户打开 Chat Widget（Open chat widget，7×24 小时可访问）。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入口动作：Open Widget → Welcome。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5. 第二阶段：欢迎语与意图识别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Step 2：Main Bot 发送 Welcome Message，例如 “How can I help?”。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Step 3：用户输入问题，例如 “What is claim status?”；进入 “Ask a Question”。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Step 4：Main Bot / Orchestrator 执行 “Orchestrate user intent”，这是全流程最关键的判断步骤。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领域判断示例：How do I submit claim? → Servicing Agent；What is MDRT? → Agency AI；Hello → Agency AI（原材料说明 Secretary Topics 属于 Agency）。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6. 第三阶段：调用 Sub Bot 与知识检索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Step 5：Main Bot 执行 Route Question，将问题发送至对应 Sub Bot。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情况 A - Sub Bot 1（Operations/Servicing）：understand question and provide answer；使用 FAQ、KB、API。示例：Claim Status 可调用 API。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情况 B - Sub Bot 2（Agency AI）：understand question and provide answer；使用 ADP KB、DS KB、AGM KB、MKT KB、Health KB、BQM KB、Persist. KB、XX KB、YY KB 等知识库。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KMS 知识来源包括 FAQ、KB Document、API；上述知识库是实际问答检索基础。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7. 第四阶段：答案返回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Step 6：Sub Bot 返回结果（Get Info From Sub Bot）。示例：How to use AIA ONE 从 KB 检索答案。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Step 7：Main Bot 回复用户（Answer）。返回内容包含 Answer Content、Citation、Flag；界面可展示答案、来源和链接。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用户得到答案后可继续提问、确认答案，或关闭聊天。原白板中 “Confirm answer is acceptable” 与 “Confirm ask again” 标记为待确认项，未作为强制步骤。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8. 第五阶段：Fallback 流程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当无法回答时，进入 Return with fallback / default answer。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Fallback 触发原因：No knowledge to provide answer（知识库无内容）；Bot cannot understand user intent（意图无法识别）；confidence score low（相似度/置信度过低）。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返回内容：Default Answer。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9. 第六阶段：触发转人工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任一触发条件满足时，提供/开放 “contact staff” 选项：连续 3 次 Fallback/default answer；用户点踩（Thumb Down）；用户明确说 Contact staff / Speak to human / Contact urgently；LLM 识别到 Anger、Anxiety、Strong dissatisfaction、Urgent help 等负面或紧急情绪。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转人工入口：Select “contact staff”。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10. 第七阶段：人工服务 Topic 选择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Bot 提问：Which topic do you need to contact staff?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用户可选择：Premium Payment、Claims、New Business、Policy Data Change、Other Operations、Others。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11. 第八阶段：Live Chat 范围判断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判断：Is in Scope Live Chat?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允许进入 Live Chat：Premium Payment、Claims、New Business、Policy Data Change、Other Operations。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不允许进入 Live Chat：Others，例如 MDRT、Competition、Recruitment。此时 Provide Contact Info，直接提供电话/各主题联系信息，不进入人工队列。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12. 第九至十阶段：工作时间内的人工服务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若属于 Live Chat Scope，判断 Is it in working hour? 原材料给出的工作时间为 Mon-Fri，08:30-17:00。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工作时间内：Request CSAT → 用户 Rate CSAT score → Transfer to Omnichannel → In Queue → CSR 接单 → Chat with Staff。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CRM 在人工接手时应可查看 Chat History、User Information、Context。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队列按所选主题分流：Premium Payment / Claims / Policy Service → Agency queue（CSM team）；New Business / Policy Data Change → BackendTeam queue（Customer+Service）。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13. 第十一阶段：Visitor Drop Out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若用户在队列中关闭窗口、离开 Queue，或 300 秒无响应，则按 Visitor Drop Out 处理。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原白板的 use case category 映射：Premium Payment、Claims、New Business、Policy Data Change、Policy Service。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Closed Case Sub Category：Visitor Drop Out。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14. 第十二至十三阶段：非工作时间与 Open Case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非工作时间（Out of Service Hour）：对 Premium Payment、Claims、Other Operations 等主题返回固定文案，例如 “Currently out of service hours”；随后结束本次服务。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进入 “Is topic to create open case?” 判断。仅 New Business 与 Policy Data Change 允许创建 Open Case。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YES：Bot 收集 Policy No. 与 Leave Message，创建 Open Case；CRM 记录 Policy No.、Leave Message，并向 Back Office 发送邮件。邮件同时携带 Agent Name、Agent Email、Policy No.、Message。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NO：Premium Payment、Claims、Other Operations 等主题返回固定消息（Fixed Message），并提供该主题联系信息。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15. 第十四至十五阶段：Auto Create Closed Case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无论是否已转人工，当用户 Close Chat 或出现 300 秒 Idle，都会触发 Auto Create Closed Case。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CRM 记录：Case Type = Chatbot；Status = Closed；Subcategory = Answer by Chat Bot。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sz w:val="21"/>
        </w:rPr>
        <w:t>如属于 Visitor Drop Out，Closed Case 的 Sub Category 为 Visitor Drop Out。</w:t>
      </w:r>
    </w:p>
    <w:p>
      <w:pPr>
        <w:spacing w:before="220" w:after="80"/>
      </w:pPr>
      <w:r>
        <w:rPr>
          <w:rFonts w:ascii="Arial" w:hAnsi="Arial" w:eastAsia="Microsoft YaHei"/>
          <w:b/>
          <w:color w:val="1F4E79"/>
          <w:sz w:val="28"/>
        </w:rPr>
        <w:t>16. 关键规则速查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B7C4D0"/>
          <w:left w:val="single" w:sz="6" w:color="B7C4D0"/>
          <w:bottom w:val="single" w:sz="6" w:color="B7C4D0"/>
          <w:right w:val="single" w:sz="6" w:color="B7C4D0"/>
          <w:insideH w:val="single" w:sz="6" w:color="B7C4D0"/>
          <w:insideV w:val="single" w:sz="6" w:color="B7C4D0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51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处理结果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可回答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Sub Bot 返回结果，Main Bot 回复 Answer（含 Answer Content / Citation / Flag）。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无法回答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Fallback/default answer；原因包括知识库无内容、意图无法识别、置信度低。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转人工触发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连续 3 次 Fallback、点踩、明确要求人工、负面/紧急情绪。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不属于 Live Chat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Provide Contact Info；不进入人工队列。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工作时间内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CSAT → Omnichannel → Queue → CSR → Chat with Staff。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非工作时间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固定 out-of-service 文案；按主题判断是否创建 Open Case。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允许创建 Open Case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仅 New Business、Policy Data Change；收集 Policy No. / Leave Message，建单并邮件通知。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sz w:val="19"/>
              </w:rPr>
              <w:t>关闭聊天或 300 秒 idle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Auto Create Closed Case；默认 Subcategory = Answer by Chat Bot。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