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Microsoft YaHei"/>
          <w:b/>
          <w:color w:val="1F4E79"/>
          <w:sz w:val="32"/>
        </w:rPr>
        <w:t>AIA Agent Chatbot 完整流程图</w:t>
      </w:r>
    </w:p>
    <w:p>
      <w:pPr>
        <w:spacing w:after="60"/>
        <w:jc w:val="center"/>
      </w:pPr>
      <w:r>
        <w:rPr>
          <w:rFonts w:ascii="Arial" w:hAnsi="Arial" w:eastAsia="Microsoft YaHei"/>
          <w:b w:val="0"/>
          <w:color w:val="595959"/>
          <w:sz w:val="19"/>
        </w:rPr>
        <w:t>按白板照片的泳道、颜色和横向节点布局重绘，并用“友邦”流程规则补齐断开部分。</w:t>
      </w:r>
    </w:p>
    <w:p>
      <w:r>
        <w:drawing>
          <wp:inline xmlns:a="http://schemas.openxmlformats.org/drawingml/2006/main" xmlns:pic="http://schemas.openxmlformats.org/drawingml/2006/picture">
            <wp:extent cx="14220000" cy="840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A_Chatbot完整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20000" cy="840272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23811" w:h="16838" w:orient="landscape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