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Registrar controle de transbordo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Agente de atendimento envia o conhecimento de transporte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assistente administrativo inicia o registro de dados de controle de transbordo.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registra informações contidas no conhecimento de transporte.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registra a origem e destino de encomenda/carga, dados do contratante (pessoa física ou jurídica).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assistente administrativo conclui o registro de controle de transbordo.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907.0866141732284" w:right="907.086614173228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