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Times New Roman" w:hAnsi="Times New Roman"/>
          <w:b/>
          <w:i w:val="0"/>
          <w:sz w:val="28"/>
        </w:rPr>
        <w:t>TITLE PAGE</w:t>
      </w:r>
    </w:p>
    <w:p>
      <w:pPr>
        <w:spacing w:after="80"/>
      </w:pPr>
      <w:r>
        <w:rPr>
          <w:rFonts w:ascii="Times New Roman" w:hAnsi="Times New Roman"/>
          <w:color w:val="969696"/>
          <w:sz w:val="18"/>
        </w:rPr>
        <w:t>──────────────────────────────────────────────────────────────────────</w:t>
      </w:r>
    </w:p>
    <w:p>
      <w:pPr>
        <w:spacing w:before="200" w:after="120"/>
      </w:pPr>
      <w:r>
        <w:rPr>
          <w:rFonts w:ascii="Times New Roman" w:hAnsi="Times New Roman"/>
          <w:b/>
          <w:i w:val="0"/>
          <w:sz w:val="24"/>
        </w:rPr>
        <w:t>Title</w:t>
      </w:r>
    </w:p>
    <w:p>
      <w:pPr>
        <w:spacing w:after="240" w:before="0"/>
      </w:pPr>
      <w:r>
        <w:rPr>
          <w:rFonts w:ascii="Times New Roman" w:hAnsi="Times New Roman"/>
          <w:b w:val="0"/>
          <w:i/>
          <w:sz w:val="24"/>
        </w:rPr>
        <w:t>Kizana: Cross-Lingual Information Retrieval for Classical Islamic Jurisprudence Texts Using Domain-Specific Query Translation</w:t>
      </w:r>
    </w:p>
    <w:p>
      <w:pPr>
        <w:spacing w:before="160" w:after="120"/>
      </w:pPr>
      <w:r>
        <w:rPr>
          <w:rFonts w:ascii="Times New Roman" w:hAnsi="Times New Roman"/>
          <w:b/>
          <w:i w:val="0"/>
          <w:sz w:val="24"/>
        </w:rPr>
        <w:t>Author</w:t>
      </w:r>
    </w:p>
    <w:p>
      <w:pPr>
        <w:spacing w:after="40" w:before="0"/>
      </w:pPr>
      <w:r>
        <w:rPr>
          <w:rFonts w:ascii="Times New Roman" w:hAnsi="Times New Roman"/>
          <w:b w:val="0"/>
          <w:i w:val="0"/>
          <w:sz w:val="24"/>
        </w:rPr>
        <w:t>Dihan Nahdi</w:t>
      </w:r>
    </w:p>
    <w:p>
      <w:pPr>
        <w:spacing w:after="40" w:before="0"/>
      </w:pPr>
      <w:r>
        <w:rPr>
          <w:rFonts w:ascii="Times New Roman" w:hAnsi="Times New Roman"/>
          <w:b w:val="0"/>
          <w:i/>
          <w:sz w:val="24"/>
        </w:rPr>
        <w:t>Independent Researcher, Kizana Search Project</w:t>
      </w:r>
    </w:p>
    <w:p>
      <w:pPr>
        <w:spacing w:after="40" w:before="0"/>
      </w:pPr>
      <w:r>
        <w:rPr>
          <w:rFonts w:ascii="Times New Roman" w:hAnsi="Times New Roman"/>
          <w:b w:val="0"/>
          <w:i w:val="0"/>
          <w:sz w:val="24"/>
        </w:rPr>
        <w:t>Indonesia</w:t>
      </w:r>
    </w:p>
    <w:p>
      <w:pPr>
        <w:spacing w:after="40" w:before="0"/>
      </w:pPr>
      <w:r>
        <w:rPr>
          <w:rFonts w:ascii="Times New Roman" w:hAnsi="Times New Roman"/>
          <w:b w:val="0"/>
          <w:i w:val="0"/>
          <w:sz w:val="24"/>
        </w:rPr>
        <w:t>Email: nahdi@bahtsulmasail.tech</w:t>
      </w:r>
    </w:p>
    <w:p>
      <w:pPr>
        <w:spacing w:after="240" w:before="0"/>
      </w:pPr>
      <w:r>
        <w:rPr>
          <w:rFonts w:ascii="Times New Roman" w:hAnsi="Times New Roman"/>
          <w:b w:val="0"/>
          <w:i w:val="0"/>
          <w:sz w:val="24"/>
        </w:rPr>
        <w:t>ORCID: [To be added — register at orcid.org]</w:t>
      </w:r>
    </w:p>
    <w:p>
      <w:pPr>
        <w:spacing w:before="160" w:after="120"/>
      </w:pPr>
      <w:r>
        <w:rPr>
          <w:rFonts w:ascii="Times New Roman" w:hAnsi="Times New Roman"/>
          <w:b/>
          <w:i w:val="0"/>
          <w:sz w:val="24"/>
        </w:rPr>
        <w:t>Corresponding Author</w:t>
      </w:r>
    </w:p>
    <w:p>
      <w:pPr>
        <w:spacing w:after="40" w:before="0"/>
      </w:pPr>
      <w:r>
        <w:rPr>
          <w:rFonts w:ascii="Times New Roman" w:hAnsi="Times New Roman"/>
          <w:b w:val="0"/>
          <w:i w:val="0"/>
          <w:sz w:val="24"/>
        </w:rPr>
        <w:t>Dihan Nahdi</w:t>
      </w:r>
    </w:p>
    <w:p>
      <w:pPr>
        <w:spacing w:after="240" w:before="0"/>
      </w:pPr>
      <w:r>
        <w:rPr>
          <w:rFonts w:ascii="Times New Roman" w:hAnsi="Times New Roman"/>
          <w:b w:val="0"/>
          <w:i w:val="0"/>
          <w:sz w:val="24"/>
        </w:rPr>
        <w:t>Email: nahdi@bahtsulmasail.tech</w:t>
      </w:r>
    </w:p>
    <w:p>
      <w:pPr>
        <w:spacing w:after="80"/>
      </w:pPr>
      <w:r>
        <w:rPr>
          <w:rFonts w:ascii="Times New Roman" w:hAnsi="Times New Roman"/>
          <w:color w:val="969696"/>
          <w:sz w:val="18"/>
        </w:rPr>
        <w:t>──────────────────────────────────────────────────────────────────────</w:t>
      </w:r>
    </w:p>
    <w:p>
      <w:pPr>
        <w:spacing w:before="200" w:after="120"/>
      </w:pPr>
      <w:r>
        <w:rPr>
          <w:rFonts w:ascii="Times New Roman" w:hAnsi="Times New Roman"/>
          <w:b/>
          <w:i w:val="0"/>
          <w:sz w:val="24"/>
        </w:rPr>
        <w:t>CRediT Author Statement</w:t>
      </w:r>
    </w:p>
    <w:p>
      <w:pPr>
        <w:spacing w:after="80" w:before="0"/>
      </w:pPr>
      <w:r>
        <w:rPr>
          <w:rFonts w:ascii="Times New Roman" w:hAnsi="Times New Roman"/>
          <w:b/>
          <w:i w:val="0"/>
          <w:sz w:val="24"/>
        </w:rPr>
        <w:t>Dihan Nahdi:</w:t>
      </w:r>
    </w:p>
    <w:p>
      <w:pPr>
        <w:spacing w:after="60"/>
        <w:ind w:left="432"/>
      </w:pPr>
      <w:r>
        <w:rPr>
          <w:rFonts w:ascii="Times New Roman" w:hAnsi="Times New Roman"/>
          <w:b/>
          <w:i w:val="0"/>
          <w:sz w:val="22"/>
        </w:rPr>
        <w:t xml:space="preserve">Conceptualization: </w:t>
      </w:r>
      <w:r>
        <w:rPr>
          <w:rFonts w:ascii="Times New Roman" w:hAnsi="Times New Roman"/>
          <w:b w:val="0"/>
          <w:i w:val="0"/>
          <w:sz w:val="22"/>
        </w:rPr>
        <w:t>Identified the research gap in cross-lingual access to classical Islamic texts.</w:t>
      </w:r>
    </w:p>
    <w:p>
      <w:pPr>
        <w:spacing w:after="60"/>
        <w:ind w:left="432"/>
      </w:pPr>
      <w:r>
        <w:rPr>
          <w:rFonts w:ascii="Times New Roman" w:hAnsi="Times New Roman"/>
          <w:b/>
          <w:i w:val="0"/>
          <w:sz w:val="22"/>
        </w:rPr>
        <w:t xml:space="preserve">Data curation: </w:t>
      </w:r>
      <w:r>
        <w:rPr>
          <w:rFonts w:ascii="Times New Roman" w:hAnsi="Times New Roman"/>
          <w:b w:val="0"/>
          <w:i w:val="0"/>
          <w:sz w:val="22"/>
        </w:rPr>
        <w:t>Compiled, annotated, and validated the 96-query gold standard dataset across 4 languages and 4 domains.</w:t>
      </w:r>
    </w:p>
    <w:p>
      <w:pPr>
        <w:spacing w:after="60"/>
        <w:ind w:left="432"/>
      </w:pPr>
      <w:r>
        <w:rPr>
          <w:rFonts w:ascii="Times New Roman" w:hAnsi="Times New Roman"/>
          <w:b/>
          <w:i w:val="0"/>
          <w:sz w:val="22"/>
        </w:rPr>
        <w:t xml:space="preserve">Formal analysis: </w:t>
      </w:r>
      <w:r>
        <w:rPr>
          <w:rFonts w:ascii="Times New Roman" w:hAnsi="Times New Roman"/>
          <w:b w:val="0"/>
          <w:i w:val="0"/>
          <w:sz w:val="22"/>
        </w:rPr>
        <w:t>Conducted all statistical analyses including paired t-tests, Cohen's d, inter-annotator agreement (κ, Krippendorff's α), MAP, MRR, and NDCG calculations.</w:t>
      </w:r>
    </w:p>
    <w:p>
      <w:pPr>
        <w:spacing w:after="60"/>
        <w:ind w:left="432"/>
      </w:pPr>
      <w:r>
        <w:rPr>
          <w:rFonts w:ascii="Times New Roman" w:hAnsi="Times New Roman"/>
          <w:b/>
          <w:i w:val="0"/>
          <w:sz w:val="22"/>
        </w:rPr>
        <w:t xml:space="preserve">Investigation: </w:t>
      </w:r>
      <w:r>
        <w:rPr>
          <w:rFonts w:ascii="Times New Roman" w:hAnsi="Times New Roman"/>
          <w:b w:val="0"/>
          <w:i w:val="0"/>
          <w:sz w:val="22"/>
        </w:rPr>
        <w:t>Designed and executed all 10-configuration ablation experiments and the Google Translate external baseline comparison.</w:t>
      </w:r>
    </w:p>
    <w:p>
      <w:pPr>
        <w:spacing w:after="60"/>
        <w:ind w:left="432"/>
      </w:pPr>
      <w:r>
        <w:rPr>
          <w:rFonts w:ascii="Times New Roman" w:hAnsi="Times New Roman"/>
          <w:b/>
          <w:i w:val="0"/>
          <w:sz w:val="22"/>
        </w:rPr>
        <w:t xml:space="preserve">Methodology: </w:t>
      </w:r>
      <w:r>
        <w:rPr>
          <w:rFonts w:ascii="Times New Roman" w:hAnsi="Times New Roman"/>
          <w:b w:val="0"/>
          <w:i w:val="0"/>
          <w:sz w:val="22"/>
        </w:rPr>
        <w:t>Developed the rule-based query translation layer, BM25 scoring enhancements, and the evaluation framework.</w:t>
      </w:r>
    </w:p>
    <w:p>
      <w:pPr>
        <w:spacing w:after="60"/>
        <w:ind w:left="432"/>
      </w:pPr>
      <w:r>
        <w:rPr>
          <w:rFonts w:ascii="Times New Roman" w:hAnsi="Times New Roman"/>
          <w:b/>
          <w:i w:val="0"/>
          <w:sz w:val="22"/>
        </w:rPr>
        <w:t xml:space="preserve">Project administration: </w:t>
      </w:r>
      <w:r>
        <w:rPr>
          <w:rFonts w:ascii="Times New Roman" w:hAnsi="Times New Roman"/>
          <w:b w:val="0"/>
          <w:i w:val="0"/>
          <w:sz w:val="22"/>
        </w:rPr>
        <w:t>Managed all aspects of system development, evaluation, and manuscript preparation.</w:t>
      </w:r>
    </w:p>
    <w:p>
      <w:pPr>
        <w:spacing w:after="60"/>
        <w:ind w:left="432"/>
      </w:pPr>
      <w:r>
        <w:rPr>
          <w:rFonts w:ascii="Times New Roman" w:hAnsi="Times New Roman"/>
          <w:b/>
          <w:i w:val="0"/>
          <w:sz w:val="22"/>
        </w:rPr>
        <w:t xml:space="preserve">Resources: </w:t>
      </w:r>
      <w:r>
        <w:rPr>
          <w:rFonts w:ascii="Times New Roman" w:hAnsi="Times New Roman"/>
          <w:b w:val="0"/>
          <w:i w:val="0"/>
          <w:sz w:val="22"/>
        </w:rPr>
        <w:t>Deployed and maintains the production system at bahtsulmasail.tech.</w:t>
      </w:r>
    </w:p>
    <w:p>
      <w:pPr>
        <w:spacing w:after="60"/>
        <w:ind w:left="432"/>
      </w:pPr>
      <w:r>
        <w:rPr>
          <w:rFonts w:ascii="Times New Roman" w:hAnsi="Times New Roman"/>
          <w:b/>
          <w:i w:val="0"/>
          <w:sz w:val="22"/>
        </w:rPr>
        <w:t xml:space="preserve">Software: </w:t>
      </w:r>
      <w:r>
        <w:rPr>
          <w:rFonts w:ascii="Times New Roman" w:hAnsi="Times New Roman"/>
          <w:b w:val="0"/>
          <w:i w:val="0"/>
          <w:sz w:val="22"/>
        </w:rPr>
        <w:t>Implemented the full Rust/Actix-web backend, SvelteKit frontend, query translation engine, and all evaluation scripts.</w:t>
      </w:r>
    </w:p>
    <w:p>
      <w:pPr>
        <w:spacing w:after="60"/>
        <w:ind w:left="432"/>
      </w:pPr>
      <w:r>
        <w:rPr>
          <w:rFonts w:ascii="Times New Roman" w:hAnsi="Times New Roman"/>
          <w:b/>
          <w:i w:val="0"/>
          <w:sz w:val="22"/>
        </w:rPr>
        <w:t xml:space="preserve">Validation: </w:t>
      </w:r>
      <w:r>
        <w:rPr>
          <w:rFonts w:ascii="Times New Roman" w:hAnsi="Times New Roman"/>
          <w:b w:val="0"/>
          <w:i w:val="0"/>
          <w:sz w:val="22"/>
        </w:rPr>
        <w:t>Validated gold standard annotations with inter-annotator agreement protocols.</w:t>
      </w:r>
    </w:p>
    <w:p>
      <w:pPr>
        <w:spacing w:after="60"/>
        <w:ind w:left="432"/>
      </w:pPr>
      <w:r>
        <w:rPr>
          <w:rFonts w:ascii="Times New Roman" w:hAnsi="Times New Roman"/>
          <w:b/>
          <w:i w:val="0"/>
          <w:sz w:val="22"/>
        </w:rPr>
        <w:t xml:space="preserve">Visualization: </w:t>
      </w:r>
      <w:r>
        <w:rPr>
          <w:rFonts w:ascii="Times New Roman" w:hAnsi="Times New Roman"/>
          <w:b w:val="0"/>
          <w:i w:val="0"/>
          <w:sz w:val="22"/>
        </w:rPr>
        <w:t>Produced all 6 publication-quality figures at 300 DPI.</w:t>
      </w:r>
    </w:p>
    <w:p>
      <w:pPr>
        <w:spacing w:after="60"/>
        <w:ind w:left="432"/>
      </w:pPr>
      <w:r>
        <w:rPr>
          <w:rFonts w:ascii="Times New Roman" w:hAnsi="Times New Roman"/>
          <w:b/>
          <w:i w:val="0"/>
          <w:sz w:val="22"/>
        </w:rPr>
        <w:t xml:space="preserve">Writing – original draft: </w:t>
      </w:r>
      <w:r>
        <w:rPr>
          <w:rFonts w:ascii="Times New Roman" w:hAnsi="Times New Roman"/>
          <w:b w:val="0"/>
          <w:i w:val="0"/>
          <w:sz w:val="22"/>
        </w:rPr>
        <w:t>Wrote the complete manuscript.</w:t>
      </w:r>
    </w:p>
    <w:p>
      <w:pPr>
        <w:spacing w:after="60"/>
        <w:ind w:left="432"/>
      </w:pPr>
      <w:r>
        <w:rPr>
          <w:rFonts w:ascii="Times New Roman" w:hAnsi="Times New Roman"/>
          <w:b/>
          <w:i w:val="0"/>
          <w:sz w:val="22"/>
        </w:rPr>
        <w:t xml:space="preserve">Writing – review and editing: </w:t>
      </w:r>
      <w:r>
        <w:rPr>
          <w:rFonts w:ascii="Times New Roman" w:hAnsi="Times New Roman"/>
          <w:b w:val="0"/>
          <w:i w:val="0"/>
          <w:sz w:val="22"/>
        </w:rPr>
        <w:t>Reviewed and revised all sections.</w:t>
      </w:r>
    </w:p>
    <w:p>
      <w:pPr>
        <w:spacing w:after="80"/>
      </w:pPr>
      <w:r>
        <w:rPr>
          <w:rFonts w:ascii="Times New Roman" w:hAnsi="Times New Roman"/>
          <w:color w:val="969696"/>
          <w:sz w:val="18"/>
        </w:rPr>
        <w:t>──────────────────────────────────────────────────────────────────────</w:t>
      </w:r>
    </w:p>
    <w:p>
      <w:pPr>
        <w:spacing w:before="200" w:after="120"/>
      </w:pPr>
      <w:r>
        <w:rPr>
          <w:rFonts w:ascii="Times New Roman" w:hAnsi="Times New Roman"/>
          <w:b/>
          <w:i w:val="0"/>
          <w:sz w:val="24"/>
        </w:rPr>
        <w:t>Funding Statement</w:t>
      </w:r>
    </w:p>
    <w:p>
      <w:pPr>
        <w:spacing w:after="240" w:before="0"/>
      </w:pPr>
      <w:r>
        <w:rPr>
          <w:rFonts w:ascii="Times New Roman" w:hAnsi="Times New Roman"/>
          <w:b w:val="0"/>
          <w:i w:val="0"/>
          <w:sz w:val="24"/>
        </w:rPr>
        <w:t>This research did not receive any specific grant from funding agencies in the public, commercial, or not-for-profit sectors.</w:t>
      </w:r>
    </w:p>
    <w:p>
      <w:pPr>
        <w:spacing w:after="80"/>
      </w:pPr>
      <w:r>
        <w:rPr>
          <w:rFonts w:ascii="Times New Roman" w:hAnsi="Times New Roman"/>
          <w:color w:val="969696"/>
          <w:sz w:val="18"/>
        </w:rPr>
        <w:t>──────────────────────────────────────────────────────────────────────</w:t>
      </w:r>
    </w:p>
    <w:p>
      <w:pPr>
        <w:spacing w:before="200" w:after="120"/>
      </w:pPr>
      <w:r>
        <w:rPr>
          <w:rFonts w:ascii="Times New Roman" w:hAnsi="Times New Roman"/>
          <w:b/>
          <w:i w:val="0"/>
          <w:sz w:val="24"/>
        </w:rPr>
        <w:t>Acknowledgements</w:t>
      </w:r>
    </w:p>
    <w:p>
      <w:pPr>
        <w:spacing w:after="240" w:before="0"/>
      </w:pPr>
      <w:r>
        <w:rPr>
          <w:rFonts w:ascii="Times New Roman" w:hAnsi="Times New Roman"/>
          <w:b w:val="0"/>
          <w:i w:val="0"/>
          <w:sz w:val="24"/>
        </w:rPr>
        <w:t>The author thanks the Indonesian pesantren community and Islamic scholars whose accumulated knowledge forms the intellectual foundation of this work. Gratitude is also extended to researchers and practitioners in the Islamic digital humanities community for their feedback on system evaluation.</w:t>
      </w:r>
    </w:p>
    <w:p>
      <w:pPr>
        <w:spacing w:after="80"/>
      </w:pPr>
      <w:r>
        <w:rPr>
          <w:rFonts w:ascii="Times New Roman" w:hAnsi="Times New Roman"/>
          <w:color w:val="969696"/>
          <w:sz w:val="18"/>
        </w:rPr>
        <w:t>──────────────────────────────────────────────────────────────────────</w:t>
      </w:r>
    </w:p>
    <w:p>
      <w:pPr>
        <w:spacing w:before="200" w:after="120"/>
      </w:pPr>
      <w:r>
        <w:rPr>
          <w:rFonts w:ascii="Times New Roman" w:hAnsi="Times New Roman"/>
          <w:b/>
          <w:i w:val="0"/>
          <w:sz w:val="24"/>
        </w:rPr>
        <w:t>Data Availability</w:t>
      </w:r>
    </w:p>
    <w:p>
      <w:pPr>
        <w:spacing w:after="0" w:before="0"/>
      </w:pPr>
      <w:r>
        <w:rPr>
          <w:rFonts w:ascii="Times New Roman" w:hAnsi="Times New Roman"/>
          <w:b w:val="0"/>
          <w:i w:val="0"/>
          <w:sz w:val="24"/>
        </w:rPr>
        <w:t>The evaluation dataset (96 annotated queries), evaluation scripts, and Kizana system source code are publicly available at: https://github.com/dihannahdi/kizana. The underlying corpus of 7,872 classical Arabic books is proprietary and not distributed; however, all evaluation data and code needed to reproduce the reported results are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